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8EADB" w14:textId="035718FB" w:rsidR="00E37EE0" w:rsidRDefault="00211FA3" w:rsidP="00CA703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0B2D20">
        <w:rPr>
          <w:rFonts w:ascii="Times New Roman" w:hAnsi="Times New Roman" w:cs="Times New Roman"/>
          <w:b/>
          <w:sz w:val="24"/>
          <w:szCs w:val="24"/>
        </w:rPr>
        <w:softHyphen/>
      </w:r>
      <w:r w:rsidR="000B2D20">
        <w:rPr>
          <w:rFonts w:ascii="Times New Roman" w:hAnsi="Times New Roman" w:cs="Times New Roman"/>
          <w:b/>
          <w:sz w:val="24"/>
          <w:szCs w:val="24"/>
        </w:rPr>
        <w:softHyphen/>
      </w:r>
    </w:p>
    <w:p w14:paraId="6B422BCF" w14:textId="77777777" w:rsidR="00E37EE0" w:rsidRDefault="00E37EE0" w:rsidP="00CA7031">
      <w:pPr>
        <w:spacing w:after="0" w:line="240" w:lineRule="auto"/>
        <w:rPr>
          <w:rFonts w:ascii="Times New Roman" w:hAnsi="Times New Roman" w:cs="Times New Roman"/>
          <w:b/>
          <w:sz w:val="24"/>
          <w:szCs w:val="24"/>
        </w:rPr>
      </w:pPr>
    </w:p>
    <w:p w14:paraId="70235667" w14:textId="77777777" w:rsidR="00E37EE0" w:rsidRDefault="00E37EE0" w:rsidP="00CA7031">
      <w:pPr>
        <w:spacing w:after="0" w:line="240" w:lineRule="auto"/>
        <w:rPr>
          <w:rFonts w:ascii="Times New Roman" w:hAnsi="Times New Roman" w:cs="Times New Roman"/>
          <w:b/>
          <w:sz w:val="24"/>
          <w:szCs w:val="24"/>
        </w:rPr>
      </w:pPr>
    </w:p>
    <w:p w14:paraId="45812B4D" w14:textId="36614B0E" w:rsidR="00E37EE0" w:rsidRDefault="00E37EE0" w:rsidP="00CA7031">
      <w:pPr>
        <w:spacing w:after="0" w:line="240" w:lineRule="auto"/>
        <w:rPr>
          <w:rFonts w:ascii="Times New Roman" w:hAnsi="Times New Roman" w:cs="Times New Roman"/>
          <w:b/>
          <w:sz w:val="24"/>
          <w:szCs w:val="24"/>
        </w:rPr>
      </w:pPr>
    </w:p>
    <w:p w14:paraId="4D891D65" w14:textId="77777777" w:rsidR="008153A6" w:rsidRDefault="008153A6" w:rsidP="00CA7031">
      <w:pPr>
        <w:spacing w:after="0" w:line="240" w:lineRule="auto"/>
        <w:rPr>
          <w:rFonts w:ascii="Times New Roman" w:hAnsi="Times New Roman" w:cs="Times New Roman"/>
          <w:b/>
          <w:sz w:val="24"/>
          <w:szCs w:val="24"/>
        </w:rPr>
      </w:pPr>
    </w:p>
    <w:p w14:paraId="2E370F6A" w14:textId="4C7BBFE8" w:rsidR="00454A49" w:rsidRPr="00E37EE0" w:rsidRDefault="00C44504" w:rsidP="00E37EE0">
      <w:pPr>
        <w:spacing w:after="0" w:line="240" w:lineRule="auto"/>
        <w:jc w:val="center"/>
        <w:rPr>
          <w:rFonts w:ascii="Garamond" w:hAnsi="Garamond" w:cs="Times New Roman"/>
          <w:b/>
          <w:smallCaps/>
          <w:sz w:val="36"/>
          <w:szCs w:val="36"/>
        </w:rPr>
      </w:pPr>
      <w:r w:rsidRPr="00E37EE0">
        <w:rPr>
          <w:rFonts w:ascii="Garamond" w:hAnsi="Garamond" w:cs="Times New Roman"/>
          <w:b/>
          <w:smallCaps/>
          <w:sz w:val="36"/>
          <w:szCs w:val="36"/>
        </w:rPr>
        <w:t xml:space="preserve">College </w:t>
      </w:r>
      <w:r w:rsidR="0097412F" w:rsidRPr="00E37EE0">
        <w:rPr>
          <w:rFonts w:ascii="Garamond" w:hAnsi="Garamond" w:cs="Times New Roman"/>
          <w:b/>
          <w:smallCaps/>
          <w:sz w:val="36"/>
          <w:szCs w:val="36"/>
        </w:rPr>
        <w:t>Attainment, Income Inequality</w:t>
      </w:r>
      <w:r w:rsidR="00E37EE0">
        <w:rPr>
          <w:rFonts w:ascii="Garamond" w:hAnsi="Garamond" w:cs="Times New Roman"/>
          <w:b/>
          <w:smallCaps/>
          <w:sz w:val="36"/>
          <w:szCs w:val="36"/>
        </w:rPr>
        <w:t xml:space="preserve">, and </w:t>
      </w:r>
      <w:r w:rsidR="00E37EE0" w:rsidRPr="00E37EE0">
        <w:rPr>
          <w:rFonts w:ascii="Garamond" w:hAnsi="Garamond" w:cs="Times New Roman"/>
          <w:b/>
          <w:smallCaps/>
          <w:sz w:val="36"/>
          <w:szCs w:val="36"/>
        </w:rPr>
        <w:t>Economic Security</w:t>
      </w:r>
      <w:r w:rsidR="0097412F" w:rsidRPr="00E37EE0">
        <w:rPr>
          <w:rFonts w:ascii="Garamond" w:hAnsi="Garamond" w:cs="Times New Roman"/>
          <w:b/>
          <w:smallCaps/>
          <w:sz w:val="36"/>
          <w:szCs w:val="36"/>
        </w:rPr>
        <w:t xml:space="preserve">: </w:t>
      </w:r>
      <w:r w:rsidRPr="00E37EE0">
        <w:rPr>
          <w:rFonts w:ascii="Garamond" w:hAnsi="Garamond" w:cs="Times New Roman"/>
          <w:b/>
          <w:smallCaps/>
          <w:sz w:val="36"/>
          <w:szCs w:val="36"/>
        </w:rPr>
        <w:t>A Simulation Exercise</w:t>
      </w:r>
    </w:p>
    <w:p w14:paraId="6B0DCD27" w14:textId="6B77F620" w:rsidR="00CA7031" w:rsidRPr="00E37EE0" w:rsidRDefault="00CA7031" w:rsidP="00CA7031">
      <w:pPr>
        <w:spacing w:after="0" w:line="240" w:lineRule="auto"/>
        <w:rPr>
          <w:rFonts w:ascii="Garamond" w:hAnsi="Garamond" w:cs="Times New Roman"/>
          <w:b/>
          <w:sz w:val="36"/>
          <w:szCs w:val="36"/>
        </w:rPr>
      </w:pPr>
    </w:p>
    <w:p w14:paraId="742A28ED" w14:textId="465662F7" w:rsidR="00E37EE0" w:rsidRPr="00E37EE0" w:rsidRDefault="00E37EE0" w:rsidP="00CA7031">
      <w:pPr>
        <w:spacing w:after="0" w:line="240" w:lineRule="auto"/>
        <w:rPr>
          <w:rFonts w:ascii="Garamond" w:hAnsi="Garamond" w:cs="Times New Roman"/>
          <w:b/>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E37EE0" w:rsidRPr="00E37EE0" w14:paraId="2099C627" w14:textId="77777777" w:rsidTr="00540511">
        <w:tc>
          <w:tcPr>
            <w:tcW w:w="3116" w:type="dxa"/>
          </w:tcPr>
          <w:p w14:paraId="7A4623F3" w14:textId="77777777" w:rsidR="00E37EE0" w:rsidRPr="00E37EE0" w:rsidRDefault="00E37EE0" w:rsidP="00E37EE0">
            <w:pPr>
              <w:jc w:val="center"/>
              <w:rPr>
                <w:rFonts w:ascii="Garamond" w:hAnsi="Garamond" w:cs="Times New Roman"/>
                <w:sz w:val="28"/>
                <w:szCs w:val="28"/>
              </w:rPr>
            </w:pPr>
            <w:r w:rsidRPr="00E37EE0">
              <w:rPr>
                <w:rFonts w:ascii="Garamond" w:hAnsi="Garamond" w:cs="Times New Roman"/>
                <w:sz w:val="28"/>
                <w:szCs w:val="28"/>
              </w:rPr>
              <w:t xml:space="preserve">Brad </w:t>
            </w:r>
            <w:proofErr w:type="spellStart"/>
            <w:r w:rsidRPr="00E37EE0">
              <w:rPr>
                <w:rFonts w:ascii="Garamond" w:hAnsi="Garamond" w:cs="Times New Roman"/>
                <w:sz w:val="28"/>
                <w:szCs w:val="28"/>
              </w:rPr>
              <w:t>Hershbein</w:t>
            </w:r>
            <w:proofErr w:type="spellEnd"/>
          </w:p>
          <w:p w14:paraId="783DEE8A" w14:textId="6D9AD7D5" w:rsidR="00E37EE0" w:rsidRPr="00E37EE0" w:rsidRDefault="00E37EE0" w:rsidP="00E37EE0">
            <w:pPr>
              <w:jc w:val="center"/>
              <w:rPr>
                <w:rFonts w:ascii="Garamond" w:hAnsi="Garamond" w:cs="Times New Roman"/>
                <w:b/>
                <w:sz w:val="28"/>
                <w:szCs w:val="28"/>
              </w:rPr>
            </w:pPr>
            <w:r w:rsidRPr="00E37EE0">
              <w:rPr>
                <w:rFonts w:ascii="Garamond" w:hAnsi="Garamond"/>
                <w:sz w:val="28"/>
                <w:szCs w:val="28"/>
              </w:rPr>
              <w:t>W.E. Upjohn Institute</w:t>
            </w:r>
          </w:p>
        </w:tc>
        <w:tc>
          <w:tcPr>
            <w:tcW w:w="3117" w:type="dxa"/>
          </w:tcPr>
          <w:p w14:paraId="1AA77C67" w14:textId="77777777" w:rsidR="00E37EE0" w:rsidRPr="00E37EE0" w:rsidRDefault="00E37EE0" w:rsidP="00E37EE0">
            <w:pPr>
              <w:jc w:val="center"/>
              <w:rPr>
                <w:rFonts w:ascii="Garamond" w:hAnsi="Garamond" w:cs="Times New Roman"/>
                <w:sz w:val="28"/>
                <w:szCs w:val="28"/>
              </w:rPr>
            </w:pPr>
            <w:r w:rsidRPr="00E37EE0">
              <w:rPr>
                <w:rFonts w:ascii="Garamond" w:hAnsi="Garamond" w:cs="Times New Roman"/>
                <w:sz w:val="28"/>
                <w:szCs w:val="28"/>
              </w:rPr>
              <w:t>Melissa S. Kearney</w:t>
            </w:r>
          </w:p>
          <w:p w14:paraId="7AF51C3D" w14:textId="1A9BAC75" w:rsidR="00E37EE0" w:rsidRPr="00E37EE0" w:rsidRDefault="00E37EE0" w:rsidP="00E37EE0">
            <w:pPr>
              <w:jc w:val="center"/>
              <w:rPr>
                <w:rFonts w:ascii="Garamond" w:hAnsi="Garamond" w:cs="Times New Roman"/>
                <w:sz w:val="28"/>
                <w:szCs w:val="28"/>
              </w:rPr>
            </w:pPr>
            <w:r w:rsidRPr="00E37EE0">
              <w:rPr>
                <w:rFonts w:ascii="Garamond" w:hAnsi="Garamond" w:cs="Times New Roman"/>
                <w:sz w:val="28"/>
                <w:szCs w:val="28"/>
              </w:rPr>
              <w:t>University of Maryland and NBER</w:t>
            </w:r>
          </w:p>
        </w:tc>
        <w:tc>
          <w:tcPr>
            <w:tcW w:w="3117" w:type="dxa"/>
          </w:tcPr>
          <w:p w14:paraId="6561D712" w14:textId="21431246" w:rsidR="00E37EE0" w:rsidRPr="00E37EE0" w:rsidRDefault="00E37EE0" w:rsidP="00E37EE0">
            <w:pPr>
              <w:jc w:val="center"/>
              <w:rPr>
                <w:rFonts w:ascii="Garamond" w:hAnsi="Garamond" w:cs="Times New Roman"/>
                <w:sz w:val="28"/>
                <w:szCs w:val="28"/>
              </w:rPr>
            </w:pPr>
            <w:r w:rsidRPr="00E37EE0">
              <w:rPr>
                <w:rFonts w:ascii="Garamond" w:hAnsi="Garamond" w:cs="Times New Roman"/>
                <w:sz w:val="28"/>
                <w:szCs w:val="28"/>
              </w:rPr>
              <w:t xml:space="preserve">Luke W. </w:t>
            </w:r>
            <w:proofErr w:type="spellStart"/>
            <w:r w:rsidRPr="00E37EE0">
              <w:rPr>
                <w:rFonts w:ascii="Garamond" w:hAnsi="Garamond" w:cs="Times New Roman"/>
                <w:sz w:val="28"/>
                <w:szCs w:val="28"/>
              </w:rPr>
              <w:t>Pardue</w:t>
            </w:r>
            <w:proofErr w:type="spellEnd"/>
          </w:p>
          <w:p w14:paraId="284956F5" w14:textId="677A4BD9" w:rsidR="00E37EE0" w:rsidRPr="00E37EE0" w:rsidRDefault="00E37EE0" w:rsidP="00E37EE0">
            <w:pPr>
              <w:jc w:val="center"/>
              <w:rPr>
                <w:rFonts w:ascii="Garamond" w:hAnsi="Garamond" w:cs="Times New Roman"/>
                <w:b/>
                <w:sz w:val="28"/>
                <w:szCs w:val="28"/>
              </w:rPr>
            </w:pPr>
            <w:r w:rsidRPr="00E37EE0">
              <w:rPr>
                <w:rFonts w:ascii="Garamond" w:hAnsi="Garamond" w:cs="Times New Roman"/>
                <w:sz w:val="28"/>
                <w:szCs w:val="28"/>
              </w:rPr>
              <w:t>University of Maryland</w:t>
            </w:r>
          </w:p>
        </w:tc>
      </w:tr>
    </w:tbl>
    <w:p w14:paraId="7B1F765E" w14:textId="03CB5DF4" w:rsidR="00E37EE0" w:rsidRDefault="00E37EE0" w:rsidP="00CA7031">
      <w:pPr>
        <w:spacing w:after="0" w:line="240" w:lineRule="auto"/>
        <w:rPr>
          <w:rFonts w:ascii="Times New Roman" w:hAnsi="Times New Roman" w:cs="Times New Roman"/>
          <w:b/>
          <w:sz w:val="24"/>
          <w:szCs w:val="24"/>
        </w:rPr>
      </w:pPr>
    </w:p>
    <w:p w14:paraId="2BE0143C" w14:textId="77777777" w:rsidR="00E37EE0" w:rsidRDefault="00E37EE0" w:rsidP="00CA7031">
      <w:pPr>
        <w:spacing w:after="0" w:line="240" w:lineRule="auto"/>
        <w:rPr>
          <w:rFonts w:ascii="Times New Roman" w:hAnsi="Times New Roman" w:cs="Times New Roman"/>
          <w:b/>
          <w:sz w:val="24"/>
          <w:szCs w:val="24"/>
        </w:rPr>
      </w:pPr>
    </w:p>
    <w:p w14:paraId="1A1ED472" w14:textId="72188447" w:rsidR="006F5B02" w:rsidRDefault="005B4100" w:rsidP="00E37EE0">
      <w:pPr>
        <w:spacing w:after="0" w:line="240" w:lineRule="auto"/>
        <w:jc w:val="center"/>
        <w:rPr>
          <w:rFonts w:ascii="Garamond" w:hAnsi="Garamond" w:cs="Times New Roman"/>
          <w:sz w:val="28"/>
          <w:szCs w:val="28"/>
        </w:rPr>
      </w:pPr>
      <w:r>
        <w:rPr>
          <w:rFonts w:ascii="Garamond" w:hAnsi="Garamond" w:cs="Times New Roman"/>
          <w:sz w:val="28"/>
          <w:szCs w:val="28"/>
        </w:rPr>
        <w:t xml:space="preserve">January </w:t>
      </w:r>
      <w:r w:rsidR="00B26DB0">
        <w:rPr>
          <w:rFonts w:ascii="Garamond" w:hAnsi="Garamond" w:cs="Times New Roman"/>
          <w:sz w:val="28"/>
          <w:szCs w:val="28"/>
        </w:rPr>
        <w:t>26</w:t>
      </w:r>
      <w:r>
        <w:rPr>
          <w:rFonts w:ascii="Garamond" w:hAnsi="Garamond" w:cs="Times New Roman"/>
          <w:sz w:val="28"/>
          <w:szCs w:val="28"/>
        </w:rPr>
        <w:t>, 2020</w:t>
      </w:r>
    </w:p>
    <w:p w14:paraId="6D8CEEE3" w14:textId="0D5BF76F" w:rsidR="00E37EE0" w:rsidRDefault="00E37EE0" w:rsidP="00E37EE0">
      <w:pPr>
        <w:spacing w:after="0" w:line="240" w:lineRule="auto"/>
        <w:jc w:val="center"/>
        <w:rPr>
          <w:rFonts w:ascii="Garamond" w:hAnsi="Garamond" w:cs="Times New Roman"/>
          <w:sz w:val="28"/>
          <w:szCs w:val="28"/>
        </w:rPr>
      </w:pPr>
    </w:p>
    <w:p w14:paraId="1C302123" w14:textId="343103E2" w:rsidR="00E37EE0" w:rsidRDefault="00E37EE0" w:rsidP="00E37EE0">
      <w:pPr>
        <w:spacing w:after="0" w:line="240" w:lineRule="auto"/>
        <w:jc w:val="center"/>
        <w:rPr>
          <w:rFonts w:ascii="Garamond" w:hAnsi="Garamond" w:cs="Times New Roman"/>
          <w:sz w:val="28"/>
          <w:szCs w:val="28"/>
        </w:rPr>
      </w:pPr>
    </w:p>
    <w:p w14:paraId="576EC75F" w14:textId="2C8AE9D4" w:rsidR="00E37EE0" w:rsidRDefault="00E37EE0" w:rsidP="00E37EE0">
      <w:pPr>
        <w:spacing w:after="0" w:line="240" w:lineRule="auto"/>
        <w:jc w:val="center"/>
        <w:rPr>
          <w:rFonts w:ascii="Garamond" w:hAnsi="Garamond" w:cs="Times New Roman"/>
          <w:sz w:val="28"/>
          <w:szCs w:val="28"/>
        </w:rPr>
      </w:pPr>
    </w:p>
    <w:p w14:paraId="3FFAA99F" w14:textId="77777777" w:rsidR="007F63BE" w:rsidRPr="007F63BE" w:rsidRDefault="007F63BE" w:rsidP="007F63BE">
      <w:pPr>
        <w:shd w:val="clear" w:color="auto" w:fill="FFFFFF"/>
        <w:spacing w:after="0" w:line="240" w:lineRule="auto"/>
        <w:rPr>
          <w:rFonts w:ascii="Garamond" w:eastAsia="Times New Roman" w:hAnsi="Garamond" w:cs="Arial"/>
          <w:color w:val="222222"/>
          <w:sz w:val="24"/>
          <w:szCs w:val="24"/>
        </w:rPr>
      </w:pPr>
      <w:r w:rsidRPr="007F63BE">
        <w:rPr>
          <w:rFonts w:ascii="Garamond" w:eastAsia="Times New Roman" w:hAnsi="Garamond" w:cs="Arial"/>
          <w:i/>
          <w:iCs/>
          <w:color w:val="222222"/>
          <w:sz w:val="24"/>
          <w:szCs w:val="24"/>
        </w:rPr>
        <w:t>Abstract</w:t>
      </w:r>
      <w:r w:rsidRPr="007F63BE">
        <w:rPr>
          <w:rFonts w:ascii="Garamond" w:eastAsia="Times New Roman" w:hAnsi="Garamond" w:cs="Arial"/>
          <w:color w:val="222222"/>
          <w:sz w:val="24"/>
          <w:szCs w:val="24"/>
        </w:rPr>
        <w:t>: We conduct an empirical simulation exercise that gauges the plausible impact of increased rates of college attainment on a variety of measures of income inequality and economic insecurity. Using two different methodological approaches—a distributional approach and a causal parameter approach—we find that increased rates of bachelor’s and associate degree attainment would meaningfully increase economic security for lower-income individuals, reduce poverty and near-poverty, and shrink gaps between the 90th and lower percentiles of the earnings distribution. However, increases in college attainment would not significantly reduce inequality at the very top of the distribution.</w:t>
      </w:r>
    </w:p>
    <w:p w14:paraId="0E4A0B09" w14:textId="77777777" w:rsidR="007F63BE" w:rsidRPr="007F63BE" w:rsidRDefault="007F63BE" w:rsidP="007F63BE">
      <w:pPr>
        <w:shd w:val="clear" w:color="auto" w:fill="FFFFFF"/>
        <w:spacing w:after="0" w:line="240" w:lineRule="auto"/>
        <w:rPr>
          <w:rFonts w:ascii="Garamond" w:eastAsia="Times New Roman" w:hAnsi="Garamond" w:cs="Arial"/>
          <w:color w:val="222222"/>
          <w:sz w:val="24"/>
          <w:szCs w:val="24"/>
        </w:rPr>
      </w:pPr>
      <w:r w:rsidRPr="007F63BE">
        <w:rPr>
          <w:rFonts w:ascii="Garamond" w:eastAsia="Times New Roman" w:hAnsi="Garamond" w:cs="Arial"/>
          <w:color w:val="222222"/>
          <w:sz w:val="24"/>
          <w:szCs w:val="24"/>
        </w:rPr>
        <w:t> </w:t>
      </w:r>
    </w:p>
    <w:p w14:paraId="49961CAE" w14:textId="77777777" w:rsidR="007F63BE" w:rsidRPr="007F63BE" w:rsidRDefault="007F63BE" w:rsidP="007F63BE">
      <w:pPr>
        <w:shd w:val="clear" w:color="auto" w:fill="FFFFFF"/>
        <w:spacing w:after="0" w:line="240" w:lineRule="auto"/>
        <w:rPr>
          <w:rFonts w:ascii="Garamond" w:eastAsia="Times New Roman" w:hAnsi="Garamond" w:cs="Arial"/>
          <w:color w:val="222222"/>
          <w:sz w:val="24"/>
          <w:szCs w:val="24"/>
        </w:rPr>
      </w:pPr>
      <w:r w:rsidRPr="007F63BE">
        <w:rPr>
          <w:rFonts w:ascii="Garamond" w:eastAsia="Times New Roman" w:hAnsi="Garamond" w:cs="Arial"/>
          <w:i/>
          <w:iCs/>
          <w:color w:val="222222"/>
          <w:sz w:val="24"/>
          <w:szCs w:val="24"/>
        </w:rPr>
        <w:t>JEL codes</w:t>
      </w:r>
      <w:r w:rsidRPr="007F63BE">
        <w:rPr>
          <w:rFonts w:ascii="Garamond" w:eastAsia="Times New Roman" w:hAnsi="Garamond" w:cs="Arial"/>
          <w:color w:val="222222"/>
          <w:sz w:val="24"/>
          <w:szCs w:val="24"/>
        </w:rPr>
        <w:t>: I24, I26, I30, J21, J24, J31</w:t>
      </w:r>
    </w:p>
    <w:p w14:paraId="1ED712D5" w14:textId="77777777" w:rsidR="007F63BE" w:rsidRPr="007F63BE" w:rsidRDefault="007F63BE" w:rsidP="007F63BE">
      <w:pPr>
        <w:shd w:val="clear" w:color="auto" w:fill="FFFFFF"/>
        <w:spacing w:after="0" w:line="240" w:lineRule="auto"/>
        <w:rPr>
          <w:rFonts w:ascii="Garamond" w:eastAsia="Times New Roman" w:hAnsi="Garamond" w:cs="Arial"/>
          <w:color w:val="222222"/>
          <w:sz w:val="24"/>
          <w:szCs w:val="24"/>
        </w:rPr>
      </w:pPr>
      <w:r w:rsidRPr="007F63BE">
        <w:rPr>
          <w:rFonts w:ascii="Garamond" w:eastAsia="Times New Roman" w:hAnsi="Garamond" w:cs="Arial"/>
          <w:color w:val="222222"/>
          <w:sz w:val="24"/>
          <w:szCs w:val="24"/>
        </w:rPr>
        <w:t> </w:t>
      </w:r>
    </w:p>
    <w:p w14:paraId="3BFA4421" w14:textId="77777777" w:rsidR="007F63BE" w:rsidRPr="007F63BE" w:rsidRDefault="007F63BE" w:rsidP="007F63BE">
      <w:pPr>
        <w:shd w:val="clear" w:color="auto" w:fill="FFFFFF"/>
        <w:spacing w:after="0" w:line="240" w:lineRule="auto"/>
        <w:rPr>
          <w:rFonts w:ascii="Garamond" w:eastAsia="Times New Roman" w:hAnsi="Garamond" w:cs="Arial"/>
          <w:color w:val="222222"/>
          <w:sz w:val="24"/>
          <w:szCs w:val="24"/>
        </w:rPr>
      </w:pPr>
      <w:r w:rsidRPr="007F63BE">
        <w:rPr>
          <w:rFonts w:ascii="Garamond" w:eastAsia="Times New Roman" w:hAnsi="Garamond" w:cs="Arial"/>
          <w:i/>
          <w:iCs/>
          <w:color w:val="222222"/>
          <w:sz w:val="24"/>
          <w:szCs w:val="24"/>
        </w:rPr>
        <w:t>Key words</w:t>
      </w:r>
      <w:r w:rsidRPr="007F63BE">
        <w:rPr>
          <w:rFonts w:ascii="Garamond" w:eastAsia="Times New Roman" w:hAnsi="Garamond" w:cs="Arial"/>
          <w:color w:val="222222"/>
          <w:sz w:val="24"/>
          <w:szCs w:val="24"/>
        </w:rPr>
        <w:t>: education, college attainment, income inequality, earnings distribution, economic security, poverty</w:t>
      </w:r>
    </w:p>
    <w:p w14:paraId="0B147C29" w14:textId="77777777" w:rsidR="007F63BE" w:rsidRPr="007F63BE" w:rsidRDefault="007F63BE" w:rsidP="007F63BE">
      <w:pPr>
        <w:shd w:val="clear" w:color="auto" w:fill="FFFFFF"/>
        <w:spacing w:after="0" w:line="240" w:lineRule="auto"/>
        <w:rPr>
          <w:rFonts w:ascii="Arial" w:eastAsia="Times New Roman" w:hAnsi="Arial" w:cs="Arial"/>
          <w:color w:val="222222"/>
          <w:sz w:val="24"/>
          <w:szCs w:val="24"/>
        </w:rPr>
      </w:pPr>
      <w:r w:rsidRPr="007F63BE">
        <w:rPr>
          <w:rFonts w:ascii="Arial" w:eastAsia="Times New Roman" w:hAnsi="Arial" w:cs="Arial"/>
          <w:color w:val="222222"/>
          <w:sz w:val="24"/>
          <w:szCs w:val="24"/>
        </w:rPr>
        <w:t> </w:t>
      </w:r>
    </w:p>
    <w:p w14:paraId="6839402E" w14:textId="2C344CF2" w:rsidR="00E37EE0" w:rsidRDefault="00E37EE0" w:rsidP="00E37EE0">
      <w:pPr>
        <w:spacing w:after="0" w:line="240" w:lineRule="auto"/>
        <w:jc w:val="center"/>
        <w:rPr>
          <w:rFonts w:ascii="Garamond" w:hAnsi="Garamond" w:cs="Times New Roman"/>
          <w:sz w:val="28"/>
          <w:szCs w:val="28"/>
        </w:rPr>
      </w:pPr>
    </w:p>
    <w:p w14:paraId="2D985C90" w14:textId="77777777" w:rsidR="00E82EC4" w:rsidRPr="007F63BE" w:rsidRDefault="00E82EC4" w:rsidP="00E37EE0">
      <w:pPr>
        <w:spacing w:after="0" w:line="240" w:lineRule="auto"/>
        <w:jc w:val="center"/>
        <w:rPr>
          <w:rFonts w:ascii="Garamond" w:hAnsi="Garamond" w:cs="Times New Roman"/>
          <w:sz w:val="28"/>
          <w:szCs w:val="24"/>
        </w:rPr>
      </w:pPr>
      <w:bookmarkStart w:id="0" w:name="_GoBack"/>
      <w:bookmarkEnd w:id="0"/>
    </w:p>
    <w:p w14:paraId="056A7838" w14:textId="77777777" w:rsidR="00E37EE0" w:rsidRPr="007F63BE" w:rsidRDefault="00E37EE0" w:rsidP="00E37EE0">
      <w:pPr>
        <w:spacing w:after="0" w:line="240" w:lineRule="auto"/>
        <w:rPr>
          <w:rFonts w:ascii="Garamond" w:hAnsi="Garamond" w:cs="Times New Roman"/>
          <w:i/>
          <w:sz w:val="28"/>
          <w:szCs w:val="24"/>
        </w:rPr>
      </w:pPr>
    </w:p>
    <w:p w14:paraId="53F21F33" w14:textId="77777777" w:rsidR="00E37EE0" w:rsidRPr="007F63BE" w:rsidRDefault="00E37EE0" w:rsidP="00E37EE0">
      <w:pPr>
        <w:spacing w:after="0" w:line="240" w:lineRule="auto"/>
        <w:rPr>
          <w:rFonts w:ascii="Garamond" w:hAnsi="Garamond" w:cs="Times New Roman"/>
          <w:i/>
          <w:sz w:val="28"/>
          <w:szCs w:val="24"/>
        </w:rPr>
      </w:pPr>
    </w:p>
    <w:p w14:paraId="2BF0A6F4" w14:textId="436BA678" w:rsidR="00E37EE0" w:rsidRPr="007F63BE" w:rsidRDefault="00E37EE0" w:rsidP="00E37EE0">
      <w:pPr>
        <w:spacing w:after="0" w:line="240" w:lineRule="auto"/>
        <w:rPr>
          <w:rFonts w:ascii="Garamond" w:hAnsi="Garamond" w:cs="Times New Roman"/>
          <w:sz w:val="24"/>
          <w:szCs w:val="24"/>
        </w:rPr>
      </w:pPr>
      <w:r w:rsidRPr="007F63BE">
        <w:rPr>
          <w:rFonts w:ascii="Garamond" w:hAnsi="Garamond" w:cs="Times New Roman"/>
          <w:i/>
          <w:sz w:val="24"/>
          <w:szCs w:val="24"/>
        </w:rPr>
        <w:t>Acknowledgements:</w:t>
      </w:r>
      <w:r w:rsidRPr="007F63BE">
        <w:rPr>
          <w:rFonts w:ascii="Garamond" w:hAnsi="Garamond" w:cs="Times New Roman"/>
          <w:sz w:val="24"/>
          <w:szCs w:val="24"/>
        </w:rPr>
        <w:t xml:space="preserve"> This paper was prepared for the 2020 ASSA session “The Race between Education and </w:t>
      </w:r>
      <w:r w:rsidR="00097E7D" w:rsidRPr="007F63BE">
        <w:rPr>
          <w:rFonts w:ascii="Garamond" w:hAnsi="Garamond" w:cs="Times New Roman"/>
          <w:sz w:val="24"/>
          <w:szCs w:val="24"/>
        </w:rPr>
        <w:t xml:space="preserve">Technology Revisited.” We </w:t>
      </w:r>
      <w:r w:rsidR="008A6240" w:rsidRPr="007F63BE">
        <w:rPr>
          <w:rFonts w:ascii="Garamond" w:hAnsi="Garamond" w:cs="Times New Roman"/>
          <w:sz w:val="24"/>
          <w:szCs w:val="24"/>
        </w:rPr>
        <w:t xml:space="preserve">extend our gratitude to </w:t>
      </w:r>
      <w:r w:rsidR="00097E7D" w:rsidRPr="007F63BE">
        <w:rPr>
          <w:rFonts w:ascii="Garamond" w:hAnsi="Garamond" w:cs="Times New Roman"/>
          <w:sz w:val="24"/>
          <w:szCs w:val="24"/>
        </w:rPr>
        <w:t xml:space="preserve">Larry </w:t>
      </w:r>
      <w:r w:rsidR="008A6240" w:rsidRPr="007F63BE">
        <w:rPr>
          <w:rFonts w:ascii="Garamond" w:hAnsi="Garamond" w:cs="Times New Roman"/>
          <w:sz w:val="24"/>
          <w:szCs w:val="24"/>
        </w:rPr>
        <w:t xml:space="preserve">Katz </w:t>
      </w:r>
      <w:r w:rsidR="00097E7D" w:rsidRPr="007F63BE">
        <w:rPr>
          <w:rFonts w:ascii="Garamond" w:hAnsi="Garamond" w:cs="Times New Roman"/>
          <w:sz w:val="24"/>
          <w:szCs w:val="24"/>
        </w:rPr>
        <w:t xml:space="preserve">for organizing the session and </w:t>
      </w:r>
      <w:r w:rsidR="008A6240" w:rsidRPr="007F63BE">
        <w:rPr>
          <w:rFonts w:ascii="Garamond" w:hAnsi="Garamond" w:cs="Times New Roman"/>
          <w:sz w:val="24"/>
          <w:szCs w:val="24"/>
        </w:rPr>
        <w:t xml:space="preserve">providing comments on an earlier draft and to </w:t>
      </w:r>
      <w:r w:rsidRPr="007F63BE">
        <w:rPr>
          <w:rFonts w:ascii="Garamond" w:hAnsi="Garamond" w:cs="Times New Roman"/>
          <w:sz w:val="24"/>
          <w:szCs w:val="24"/>
        </w:rPr>
        <w:t>Sandy</w:t>
      </w:r>
      <w:r w:rsidR="00097E7D" w:rsidRPr="007F63BE">
        <w:rPr>
          <w:rFonts w:ascii="Garamond" w:hAnsi="Garamond" w:cs="Times New Roman"/>
          <w:sz w:val="24"/>
          <w:szCs w:val="24"/>
        </w:rPr>
        <w:t xml:space="preserve"> Black for being a discussant of</w:t>
      </w:r>
      <w:r w:rsidRPr="007F63BE">
        <w:rPr>
          <w:rFonts w:ascii="Garamond" w:hAnsi="Garamond" w:cs="Times New Roman"/>
          <w:sz w:val="24"/>
          <w:szCs w:val="24"/>
        </w:rPr>
        <w:t xml:space="preserve"> the paper.</w:t>
      </w:r>
      <w:r w:rsidR="007F63BE" w:rsidRPr="007F63BE">
        <w:rPr>
          <w:rFonts w:ascii="Garamond" w:hAnsi="Garamond" w:cs="Times New Roman"/>
          <w:sz w:val="24"/>
          <w:szCs w:val="24"/>
        </w:rPr>
        <w:t xml:space="preserve"> We thank participants of the University of Maryland Applied Micro workshop for helpful comments.</w:t>
      </w:r>
    </w:p>
    <w:p w14:paraId="6CC2A2FD" w14:textId="62C991C8" w:rsidR="00E37EE0" w:rsidRPr="007F63BE" w:rsidRDefault="00E37EE0" w:rsidP="00E37EE0">
      <w:pPr>
        <w:spacing w:after="0" w:line="240" w:lineRule="auto"/>
        <w:jc w:val="center"/>
        <w:rPr>
          <w:rFonts w:ascii="Garamond" w:hAnsi="Garamond" w:cs="Times New Roman"/>
          <w:sz w:val="24"/>
          <w:szCs w:val="24"/>
        </w:rPr>
      </w:pPr>
    </w:p>
    <w:p w14:paraId="69EA8530" w14:textId="77777777" w:rsidR="00E37EE0" w:rsidRPr="00E37EE0" w:rsidRDefault="00E37EE0" w:rsidP="00E37EE0">
      <w:pPr>
        <w:spacing w:after="0" w:line="240" w:lineRule="auto"/>
        <w:jc w:val="center"/>
        <w:rPr>
          <w:rFonts w:ascii="Garamond" w:hAnsi="Garamond" w:cs="Times New Roman"/>
          <w:sz w:val="28"/>
          <w:szCs w:val="28"/>
        </w:rPr>
      </w:pPr>
    </w:p>
    <w:p w14:paraId="1BC4411C" w14:textId="59F92A6D" w:rsidR="00E37EE0" w:rsidRDefault="00E37EE0">
      <w:pPr>
        <w:rPr>
          <w:rFonts w:ascii="Times New Roman" w:hAnsi="Times New Roman" w:cs="Times New Roman"/>
          <w:sz w:val="24"/>
          <w:szCs w:val="24"/>
        </w:rPr>
      </w:pPr>
      <w:r>
        <w:rPr>
          <w:rFonts w:ascii="Times New Roman" w:hAnsi="Times New Roman" w:cs="Times New Roman"/>
          <w:sz w:val="24"/>
          <w:szCs w:val="24"/>
        </w:rPr>
        <w:br w:type="page"/>
      </w:r>
    </w:p>
    <w:p w14:paraId="44004726" w14:textId="4DA4701C" w:rsidR="0034511E" w:rsidRPr="0034511E" w:rsidRDefault="0034511E" w:rsidP="00540511">
      <w:pPr>
        <w:pStyle w:val="ListParagraph"/>
        <w:numPr>
          <w:ilvl w:val="0"/>
          <w:numId w:val="12"/>
        </w:numPr>
        <w:spacing w:after="0" w:line="480" w:lineRule="auto"/>
        <w:ind w:left="720"/>
        <w:rPr>
          <w:rFonts w:ascii="Times New Roman" w:hAnsi="Times New Roman" w:cs="Times New Roman"/>
          <w:b/>
          <w:i/>
          <w:sz w:val="24"/>
          <w:szCs w:val="24"/>
        </w:rPr>
      </w:pPr>
      <w:r w:rsidRPr="0034511E">
        <w:rPr>
          <w:rFonts w:ascii="Times New Roman" w:hAnsi="Times New Roman" w:cs="Times New Roman"/>
          <w:b/>
          <w:i/>
          <w:sz w:val="24"/>
          <w:szCs w:val="24"/>
        </w:rPr>
        <w:lastRenderedPageBreak/>
        <w:t>INTRODUCTION</w:t>
      </w:r>
    </w:p>
    <w:p w14:paraId="62ACA34E" w14:textId="339A9207" w:rsidR="000D5FE0" w:rsidRDefault="00BA0D75" w:rsidP="00E34AE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w:t>
      </w:r>
      <w:r w:rsidR="00F67FE2">
        <w:rPr>
          <w:rFonts w:ascii="Times New Roman" w:hAnsi="Times New Roman" w:cs="Times New Roman"/>
          <w:sz w:val="24"/>
          <w:szCs w:val="24"/>
        </w:rPr>
        <w:t>ollege</w:t>
      </w:r>
      <w:r>
        <w:rPr>
          <w:rFonts w:ascii="Times New Roman" w:hAnsi="Times New Roman" w:cs="Times New Roman"/>
          <w:sz w:val="24"/>
          <w:szCs w:val="24"/>
        </w:rPr>
        <w:t>-</w:t>
      </w:r>
      <w:r w:rsidR="00F67FE2">
        <w:rPr>
          <w:rFonts w:ascii="Times New Roman" w:hAnsi="Times New Roman" w:cs="Times New Roman"/>
          <w:sz w:val="24"/>
          <w:szCs w:val="24"/>
        </w:rPr>
        <w:t>educated workers today have much higher levels of earnings</w:t>
      </w:r>
      <w:r w:rsidR="00C20CB6">
        <w:rPr>
          <w:rFonts w:ascii="Times New Roman" w:hAnsi="Times New Roman" w:cs="Times New Roman"/>
          <w:sz w:val="24"/>
          <w:szCs w:val="24"/>
        </w:rPr>
        <w:t xml:space="preserve">, income, and employment </w:t>
      </w:r>
      <w:r w:rsidR="00F67FE2">
        <w:rPr>
          <w:rFonts w:ascii="Times New Roman" w:hAnsi="Times New Roman" w:cs="Times New Roman"/>
          <w:sz w:val="24"/>
          <w:szCs w:val="24"/>
        </w:rPr>
        <w:t>than those without college degrees</w:t>
      </w:r>
      <w:r w:rsidR="00E82EC4">
        <w:rPr>
          <w:rFonts w:ascii="Times New Roman" w:hAnsi="Times New Roman" w:cs="Times New Roman"/>
          <w:sz w:val="24"/>
          <w:szCs w:val="24"/>
        </w:rPr>
        <w:t xml:space="preserve">, with especially large premiums awarded to those who hold a bachelor’s degree or higher. </w:t>
      </w:r>
      <w:r w:rsidR="000D5FE0">
        <w:rPr>
          <w:rFonts w:ascii="Times New Roman" w:hAnsi="Times New Roman" w:cs="Times New Roman"/>
          <w:sz w:val="24"/>
          <w:szCs w:val="24"/>
        </w:rPr>
        <w:t>As documented by numerous studies, the</w:t>
      </w:r>
      <w:r w:rsidR="00673BFE">
        <w:rPr>
          <w:rFonts w:ascii="Times New Roman" w:hAnsi="Times New Roman" w:cs="Times New Roman"/>
          <w:sz w:val="24"/>
          <w:szCs w:val="24"/>
        </w:rPr>
        <w:t xml:space="preserve"> </w:t>
      </w:r>
      <w:r w:rsidR="000D5FE0">
        <w:rPr>
          <w:rFonts w:ascii="Times New Roman" w:hAnsi="Times New Roman" w:cs="Times New Roman"/>
          <w:sz w:val="24"/>
          <w:szCs w:val="24"/>
        </w:rPr>
        <w:t xml:space="preserve">relative </w:t>
      </w:r>
      <w:r w:rsidR="00673BFE">
        <w:rPr>
          <w:rFonts w:ascii="Times New Roman" w:hAnsi="Times New Roman" w:cs="Times New Roman"/>
          <w:sz w:val="24"/>
          <w:szCs w:val="24"/>
        </w:rPr>
        <w:t>employment and earnings outcomes of</w:t>
      </w:r>
      <w:r w:rsidR="00423C4A">
        <w:rPr>
          <w:rFonts w:ascii="Times New Roman" w:hAnsi="Times New Roman" w:cs="Times New Roman"/>
          <w:sz w:val="24"/>
          <w:szCs w:val="24"/>
        </w:rPr>
        <w:t xml:space="preserve"> individuals without a college degree have fared relatively poorly in the wake of advancements in t</w:t>
      </w:r>
      <w:r w:rsidR="00423C4A" w:rsidRPr="00B43067">
        <w:rPr>
          <w:rFonts w:ascii="Times New Roman" w:hAnsi="Times New Roman" w:cs="Times New Roman"/>
          <w:sz w:val="24"/>
          <w:szCs w:val="24"/>
        </w:rPr>
        <w:t>echnolog</w:t>
      </w:r>
      <w:r w:rsidR="00423C4A">
        <w:rPr>
          <w:rFonts w:ascii="Times New Roman" w:hAnsi="Times New Roman" w:cs="Times New Roman"/>
          <w:sz w:val="24"/>
          <w:szCs w:val="24"/>
        </w:rPr>
        <w:t>y</w:t>
      </w:r>
      <w:r w:rsidR="00423C4A" w:rsidRPr="00B43067">
        <w:rPr>
          <w:rFonts w:ascii="Times New Roman" w:hAnsi="Times New Roman" w:cs="Times New Roman"/>
          <w:sz w:val="24"/>
          <w:szCs w:val="24"/>
        </w:rPr>
        <w:t>, globalization, and trade, among other</w:t>
      </w:r>
      <w:r w:rsidR="00423C4A">
        <w:rPr>
          <w:rFonts w:ascii="Times New Roman" w:hAnsi="Times New Roman" w:cs="Times New Roman"/>
          <w:sz w:val="24"/>
          <w:szCs w:val="24"/>
        </w:rPr>
        <w:t xml:space="preserve"> factor</w:t>
      </w:r>
      <w:r w:rsidR="000D5FE0">
        <w:rPr>
          <w:rFonts w:ascii="Times New Roman" w:hAnsi="Times New Roman" w:cs="Times New Roman"/>
          <w:sz w:val="24"/>
          <w:szCs w:val="24"/>
        </w:rPr>
        <w:t xml:space="preserve">s. </w:t>
      </w:r>
      <w:r w:rsidR="00C20CB6">
        <w:rPr>
          <w:rFonts w:ascii="Times New Roman" w:hAnsi="Times New Roman" w:cs="Times New Roman"/>
          <w:sz w:val="24"/>
          <w:szCs w:val="24"/>
        </w:rPr>
        <w:t xml:space="preserve">Annual </w:t>
      </w:r>
      <w:r w:rsidR="001E41D4">
        <w:rPr>
          <w:rFonts w:ascii="Times New Roman" w:hAnsi="Times New Roman" w:cs="Times New Roman"/>
          <w:sz w:val="24"/>
          <w:szCs w:val="24"/>
        </w:rPr>
        <w:t xml:space="preserve">earnings of </w:t>
      </w:r>
      <w:r w:rsidR="00C20CB6">
        <w:rPr>
          <w:rFonts w:ascii="Times New Roman" w:hAnsi="Times New Roman" w:cs="Times New Roman"/>
          <w:sz w:val="24"/>
          <w:szCs w:val="24"/>
        </w:rPr>
        <w:t>workers</w:t>
      </w:r>
      <w:r w:rsidR="001E41D4">
        <w:rPr>
          <w:rFonts w:ascii="Times New Roman" w:hAnsi="Times New Roman" w:cs="Times New Roman"/>
          <w:sz w:val="24"/>
          <w:szCs w:val="24"/>
        </w:rPr>
        <w:t xml:space="preserve"> with a college degree or </w:t>
      </w:r>
      <w:r w:rsidR="00182C86">
        <w:rPr>
          <w:rFonts w:ascii="Times New Roman" w:hAnsi="Times New Roman" w:cs="Times New Roman"/>
          <w:sz w:val="24"/>
          <w:szCs w:val="24"/>
        </w:rPr>
        <w:t xml:space="preserve">more </w:t>
      </w:r>
      <w:r w:rsidR="001E41D4">
        <w:rPr>
          <w:rFonts w:ascii="Times New Roman" w:hAnsi="Times New Roman" w:cs="Times New Roman"/>
          <w:sz w:val="24"/>
          <w:szCs w:val="24"/>
        </w:rPr>
        <w:t>have risen</w:t>
      </w:r>
      <w:r w:rsidR="009031E9">
        <w:rPr>
          <w:rFonts w:ascii="Times New Roman" w:hAnsi="Times New Roman" w:cs="Times New Roman"/>
          <w:sz w:val="24"/>
          <w:szCs w:val="24"/>
        </w:rPr>
        <w:t xml:space="preserve"> steadily</w:t>
      </w:r>
      <w:r w:rsidR="00C20CB6">
        <w:rPr>
          <w:rFonts w:ascii="Times New Roman" w:hAnsi="Times New Roman" w:cs="Times New Roman"/>
          <w:sz w:val="24"/>
          <w:szCs w:val="24"/>
        </w:rPr>
        <w:t xml:space="preserve"> over the past four or five decades</w:t>
      </w:r>
      <w:r w:rsidR="001E41D4">
        <w:rPr>
          <w:rFonts w:ascii="Times New Roman" w:hAnsi="Times New Roman" w:cs="Times New Roman"/>
          <w:sz w:val="24"/>
          <w:szCs w:val="24"/>
        </w:rPr>
        <w:t xml:space="preserve">, while </w:t>
      </w:r>
      <w:r w:rsidR="00C20CB6">
        <w:rPr>
          <w:rFonts w:ascii="Times New Roman" w:hAnsi="Times New Roman" w:cs="Times New Roman"/>
          <w:sz w:val="24"/>
          <w:szCs w:val="24"/>
        </w:rPr>
        <w:t xml:space="preserve">the </w:t>
      </w:r>
      <w:r w:rsidR="008B785E">
        <w:rPr>
          <w:rFonts w:ascii="Times New Roman" w:hAnsi="Times New Roman" w:cs="Times New Roman"/>
          <w:sz w:val="24"/>
          <w:szCs w:val="24"/>
        </w:rPr>
        <w:t>earnings</w:t>
      </w:r>
      <w:r w:rsidR="001E41D4">
        <w:rPr>
          <w:rFonts w:ascii="Times New Roman" w:hAnsi="Times New Roman" w:cs="Times New Roman"/>
          <w:sz w:val="24"/>
          <w:szCs w:val="24"/>
        </w:rPr>
        <w:t xml:space="preserve"> of those with lower levels of education have stagnated or fallen</w:t>
      </w:r>
      <w:r w:rsidR="009031E9">
        <w:rPr>
          <w:rFonts w:ascii="Times New Roman" w:hAnsi="Times New Roman" w:cs="Times New Roman"/>
          <w:sz w:val="24"/>
          <w:szCs w:val="24"/>
        </w:rPr>
        <w:t xml:space="preserve"> </w:t>
      </w:r>
      <w:r w:rsidR="00C20CB6">
        <w:rPr>
          <w:rFonts w:ascii="Times New Roman" w:hAnsi="Times New Roman" w:cs="Times New Roman"/>
          <w:sz w:val="24"/>
          <w:szCs w:val="24"/>
        </w:rPr>
        <w:t>(see for example</w:t>
      </w:r>
      <w:r w:rsidR="009031E9">
        <w:rPr>
          <w:rFonts w:ascii="Times New Roman" w:hAnsi="Times New Roman" w:cs="Times New Roman"/>
          <w:sz w:val="24"/>
          <w:szCs w:val="24"/>
        </w:rPr>
        <w:t xml:space="preserve">, </w:t>
      </w:r>
      <w:proofErr w:type="spellStart"/>
      <w:r w:rsidR="009031E9">
        <w:rPr>
          <w:rFonts w:ascii="Times New Roman" w:hAnsi="Times New Roman" w:cs="Times New Roman"/>
          <w:sz w:val="24"/>
          <w:szCs w:val="24"/>
        </w:rPr>
        <w:t>Autor</w:t>
      </w:r>
      <w:proofErr w:type="spellEnd"/>
      <w:r w:rsidR="009031E9">
        <w:rPr>
          <w:rFonts w:ascii="Times New Roman" w:hAnsi="Times New Roman" w:cs="Times New Roman"/>
          <w:sz w:val="24"/>
          <w:szCs w:val="24"/>
        </w:rPr>
        <w:t xml:space="preserve"> 2014).</w:t>
      </w:r>
      <w:r w:rsidR="000D5FE0">
        <w:rPr>
          <w:rFonts w:ascii="Times New Roman" w:hAnsi="Times New Roman" w:cs="Times New Roman"/>
          <w:sz w:val="24"/>
          <w:szCs w:val="24"/>
        </w:rPr>
        <w:t xml:space="preserve"> </w:t>
      </w:r>
      <w:r w:rsidR="000D5FE0" w:rsidRPr="001D3751">
        <w:rPr>
          <w:rFonts w:ascii="Times New Roman" w:hAnsi="Times New Roman" w:cs="Times New Roman"/>
          <w:sz w:val="24"/>
          <w:szCs w:val="24"/>
        </w:rPr>
        <w:t>Figure 1 shows that the college wage premium</w:t>
      </w:r>
      <w:r w:rsidR="00165DEC">
        <w:rPr>
          <w:rFonts w:ascii="Times New Roman" w:hAnsi="Times New Roman" w:cs="Times New Roman"/>
          <w:sz w:val="24"/>
          <w:szCs w:val="24"/>
        </w:rPr>
        <w:t>—</w:t>
      </w:r>
      <w:r w:rsidR="0010097F">
        <w:rPr>
          <w:rFonts w:ascii="Times New Roman" w:hAnsi="Times New Roman" w:cs="Times New Roman"/>
          <w:sz w:val="24"/>
          <w:szCs w:val="24"/>
        </w:rPr>
        <w:t>which</w:t>
      </w:r>
      <w:r w:rsidR="00165DEC">
        <w:rPr>
          <w:rFonts w:ascii="Times New Roman" w:hAnsi="Times New Roman" w:cs="Times New Roman"/>
          <w:sz w:val="24"/>
          <w:szCs w:val="24"/>
        </w:rPr>
        <w:t xml:space="preserve"> </w:t>
      </w:r>
      <w:r w:rsidR="0010097F">
        <w:rPr>
          <w:rFonts w:ascii="Times New Roman" w:hAnsi="Times New Roman" w:cs="Times New Roman"/>
          <w:sz w:val="24"/>
          <w:szCs w:val="24"/>
        </w:rPr>
        <w:t xml:space="preserve">we </w:t>
      </w:r>
      <w:r w:rsidR="00165DEC">
        <w:rPr>
          <w:rFonts w:ascii="Times New Roman" w:hAnsi="Times New Roman" w:cs="Times New Roman"/>
          <w:sz w:val="24"/>
          <w:szCs w:val="24"/>
        </w:rPr>
        <w:t xml:space="preserve">initially </w:t>
      </w:r>
      <w:r w:rsidR="0010097F">
        <w:rPr>
          <w:rFonts w:ascii="Times New Roman" w:hAnsi="Times New Roman" w:cs="Times New Roman"/>
          <w:sz w:val="24"/>
          <w:szCs w:val="24"/>
        </w:rPr>
        <w:t xml:space="preserve">define </w:t>
      </w:r>
      <w:r w:rsidR="00165DEC">
        <w:rPr>
          <w:rFonts w:ascii="Times New Roman" w:hAnsi="Times New Roman" w:cs="Times New Roman"/>
          <w:sz w:val="24"/>
          <w:szCs w:val="24"/>
        </w:rPr>
        <w:t xml:space="preserve">in </w:t>
      </w:r>
      <w:r w:rsidR="00E82EC4">
        <w:rPr>
          <w:rFonts w:ascii="Times New Roman" w:hAnsi="Times New Roman" w:cs="Times New Roman"/>
          <w:sz w:val="24"/>
          <w:szCs w:val="24"/>
        </w:rPr>
        <w:t xml:space="preserve">this figure </w:t>
      </w:r>
      <w:r w:rsidR="0073468C">
        <w:rPr>
          <w:rFonts w:ascii="Times New Roman" w:hAnsi="Times New Roman" w:cs="Times New Roman"/>
          <w:sz w:val="24"/>
          <w:szCs w:val="24"/>
        </w:rPr>
        <w:t xml:space="preserve">in </w:t>
      </w:r>
      <w:r w:rsidR="00165DEC">
        <w:rPr>
          <w:rFonts w:ascii="Times New Roman" w:hAnsi="Times New Roman" w:cs="Times New Roman"/>
          <w:sz w:val="24"/>
          <w:szCs w:val="24"/>
        </w:rPr>
        <w:t xml:space="preserve">accordance with previous literature </w:t>
      </w:r>
      <w:r w:rsidR="0010097F">
        <w:rPr>
          <w:rFonts w:ascii="Times New Roman" w:hAnsi="Times New Roman" w:cs="Times New Roman"/>
          <w:sz w:val="24"/>
          <w:szCs w:val="24"/>
        </w:rPr>
        <w:t>as the difference in log annual earnings</w:t>
      </w:r>
      <w:r w:rsidR="00165DEC">
        <w:rPr>
          <w:rFonts w:ascii="Times New Roman" w:hAnsi="Times New Roman" w:cs="Times New Roman"/>
          <w:sz w:val="24"/>
          <w:szCs w:val="24"/>
        </w:rPr>
        <w:t xml:space="preserve"> </w:t>
      </w:r>
      <w:r w:rsidR="00BB2F88" w:rsidRPr="001D3751">
        <w:rPr>
          <w:rFonts w:ascii="Times New Roman" w:hAnsi="Times New Roman" w:cs="Times New Roman"/>
          <w:sz w:val="24"/>
          <w:szCs w:val="24"/>
        </w:rPr>
        <w:t xml:space="preserve">between those who have received a </w:t>
      </w:r>
      <w:r w:rsidR="00165DEC">
        <w:rPr>
          <w:rFonts w:ascii="Times New Roman" w:hAnsi="Times New Roman" w:cs="Times New Roman"/>
          <w:sz w:val="24"/>
          <w:szCs w:val="24"/>
        </w:rPr>
        <w:t>bachelor’s</w:t>
      </w:r>
      <w:r w:rsidR="00BB2F88" w:rsidRPr="001D3751">
        <w:rPr>
          <w:rFonts w:ascii="Times New Roman" w:hAnsi="Times New Roman" w:cs="Times New Roman"/>
          <w:sz w:val="24"/>
          <w:szCs w:val="24"/>
        </w:rPr>
        <w:t xml:space="preserve"> degree and those who have not</w:t>
      </w:r>
      <w:r w:rsidR="00165DEC">
        <w:rPr>
          <w:rFonts w:ascii="Times New Roman" w:hAnsi="Times New Roman" w:cs="Times New Roman"/>
          <w:sz w:val="24"/>
          <w:szCs w:val="24"/>
        </w:rPr>
        <w:t>—</w:t>
      </w:r>
      <w:r w:rsidR="000D5FE0" w:rsidRPr="001D3751">
        <w:rPr>
          <w:rFonts w:ascii="Times New Roman" w:hAnsi="Times New Roman" w:cs="Times New Roman"/>
          <w:sz w:val="24"/>
          <w:szCs w:val="24"/>
        </w:rPr>
        <w:t>increased</w:t>
      </w:r>
      <w:r w:rsidR="00165DEC">
        <w:rPr>
          <w:rFonts w:ascii="Times New Roman" w:hAnsi="Times New Roman" w:cs="Times New Roman"/>
          <w:sz w:val="24"/>
          <w:szCs w:val="24"/>
        </w:rPr>
        <w:t xml:space="preserve"> </w:t>
      </w:r>
      <w:r w:rsidR="000D5FE0" w:rsidRPr="001D3751">
        <w:rPr>
          <w:rFonts w:ascii="Times New Roman" w:hAnsi="Times New Roman" w:cs="Times New Roman"/>
          <w:sz w:val="24"/>
          <w:szCs w:val="24"/>
        </w:rPr>
        <w:t>steadily from the early 1980s through around 2000, at which point it flattened, but did not reverse. Today th</w:t>
      </w:r>
      <w:r w:rsidR="0073468C">
        <w:rPr>
          <w:rFonts w:ascii="Times New Roman" w:hAnsi="Times New Roman" w:cs="Times New Roman"/>
          <w:sz w:val="24"/>
          <w:szCs w:val="24"/>
        </w:rPr>
        <w:t>is</w:t>
      </w:r>
      <w:r w:rsidR="000D5FE0" w:rsidRPr="001D3751">
        <w:rPr>
          <w:rFonts w:ascii="Times New Roman" w:hAnsi="Times New Roman" w:cs="Times New Roman"/>
          <w:sz w:val="24"/>
          <w:szCs w:val="24"/>
        </w:rPr>
        <w:t xml:space="preserve"> college/high school wage premium remains at </w:t>
      </w:r>
      <w:r w:rsidR="00D561B7" w:rsidRPr="001D3751">
        <w:rPr>
          <w:rFonts w:ascii="Times New Roman" w:hAnsi="Times New Roman" w:cs="Times New Roman"/>
          <w:sz w:val="24"/>
          <w:szCs w:val="24"/>
        </w:rPr>
        <w:t>90</w:t>
      </w:r>
      <w:r w:rsidR="00165DEC">
        <w:rPr>
          <w:rFonts w:ascii="Times New Roman" w:hAnsi="Times New Roman" w:cs="Times New Roman"/>
          <w:sz w:val="24"/>
          <w:szCs w:val="24"/>
        </w:rPr>
        <w:t xml:space="preserve"> percent and is similar for men (88 percent) and women (92 percent).</w:t>
      </w:r>
      <w:r w:rsidR="000D5FE0" w:rsidRPr="001D3751">
        <w:rPr>
          <w:rStyle w:val="FootnoteReference"/>
          <w:rFonts w:ascii="Times New Roman" w:hAnsi="Times New Roman" w:cs="Times New Roman"/>
          <w:sz w:val="24"/>
          <w:szCs w:val="24"/>
        </w:rPr>
        <w:footnoteReference w:id="1"/>
      </w:r>
    </w:p>
    <w:p w14:paraId="37397CEE" w14:textId="71E2948B" w:rsidR="00B256E5" w:rsidRDefault="00B256E5" w:rsidP="00E34AE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Divergence in employment rates have exacerbated trends in relative earnings. P</w:t>
      </w:r>
      <w:r w:rsidR="00B54314" w:rsidRPr="00B54314">
        <w:rPr>
          <w:rFonts w:ascii="Times New Roman" w:hAnsi="Times New Roman" w:cs="Times New Roman"/>
          <w:sz w:val="24"/>
          <w:szCs w:val="24"/>
        </w:rPr>
        <w:t xml:space="preserve">rime-age adults with </w:t>
      </w:r>
      <w:r w:rsidR="0010097F">
        <w:rPr>
          <w:rFonts w:ascii="Times New Roman" w:hAnsi="Times New Roman" w:cs="Times New Roman"/>
          <w:sz w:val="24"/>
          <w:szCs w:val="24"/>
        </w:rPr>
        <w:t xml:space="preserve">no more than </w:t>
      </w:r>
      <w:r w:rsidR="00B54314" w:rsidRPr="00B54314">
        <w:rPr>
          <w:rFonts w:ascii="Times New Roman" w:hAnsi="Times New Roman" w:cs="Times New Roman"/>
          <w:sz w:val="24"/>
          <w:szCs w:val="24"/>
        </w:rPr>
        <w:t xml:space="preserve">a high school degree have experienced a sizable decline in employment rates </w:t>
      </w:r>
      <w:r w:rsidR="0010097F">
        <w:rPr>
          <w:rFonts w:ascii="Times New Roman" w:hAnsi="Times New Roman" w:cs="Times New Roman"/>
          <w:sz w:val="24"/>
          <w:szCs w:val="24"/>
        </w:rPr>
        <w:t>in</w:t>
      </w:r>
      <w:r w:rsidR="00B54314" w:rsidRPr="00B54314">
        <w:rPr>
          <w:rFonts w:ascii="Times New Roman" w:hAnsi="Times New Roman" w:cs="Times New Roman"/>
          <w:sz w:val="24"/>
          <w:szCs w:val="24"/>
        </w:rPr>
        <w:t xml:space="preserve"> recent decades, </w:t>
      </w:r>
      <w:r>
        <w:rPr>
          <w:rFonts w:ascii="Times New Roman" w:hAnsi="Times New Roman" w:cs="Times New Roman"/>
          <w:sz w:val="24"/>
          <w:szCs w:val="24"/>
        </w:rPr>
        <w:t xml:space="preserve">while employment rates among </w:t>
      </w:r>
      <w:r w:rsidR="00B54314" w:rsidRPr="00B54314">
        <w:rPr>
          <w:rFonts w:ascii="Times New Roman" w:hAnsi="Times New Roman" w:cs="Times New Roman"/>
          <w:sz w:val="24"/>
          <w:szCs w:val="24"/>
        </w:rPr>
        <w:t>college</w:t>
      </w:r>
      <w:r w:rsidR="0073468C">
        <w:rPr>
          <w:rFonts w:ascii="Times New Roman" w:hAnsi="Times New Roman" w:cs="Times New Roman"/>
          <w:sz w:val="24"/>
          <w:szCs w:val="24"/>
        </w:rPr>
        <w:t>-</w:t>
      </w:r>
      <w:r w:rsidR="00B54314" w:rsidRPr="00B54314">
        <w:rPr>
          <w:rFonts w:ascii="Times New Roman" w:hAnsi="Times New Roman" w:cs="Times New Roman"/>
          <w:sz w:val="24"/>
          <w:szCs w:val="24"/>
        </w:rPr>
        <w:t>degree holders</w:t>
      </w:r>
      <w:r>
        <w:rPr>
          <w:rFonts w:ascii="Times New Roman" w:hAnsi="Times New Roman" w:cs="Times New Roman"/>
          <w:sz w:val="24"/>
          <w:szCs w:val="24"/>
        </w:rPr>
        <w:t xml:space="preserve"> have fallen only slightly</w:t>
      </w:r>
      <w:r w:rsidR="00B54314" w:rsidRPr="00B54314">
        <w:rPr>
          <w:rFonts w:ascii="Times New Roman" w:hAnsi="Times New Roman" w:cs="Times New Roman"/>
          <w:sz w:val="24"/>
          <w:szCs w:val="24"/>
        </w:rPr>
        <w:t>. For instance, among men age 25 to 34 with a high school degree</w:t>
      </w:r>
      <w:r>
        <w:rPr>
          <w:rFonts w:ascii="Times New Roman" w:hAnsi="Times New Roman" w:cs="Times New Roman"/>
          <w:sz w:val="24"/>
          <w:szCs w:val="24"/>
        </w:rPr>
        <w:t xml:space="preserve"> but no college</w:t>
      </w:r>
      <w:r w:rsidR="00B54314" w:rsidRPr="00B54314">
        <w:rPr>
          <w:rFonts w:ascii="Times New Roman" w:hAnsi="Times New Roman" w:cs="Times New Roman"/>
          <w:sz w:val="24"/>
          <w:szCs w:val="24"/>
        </w:rPr>
        <w:t>, employment rates f</w:t>
      </w:r>
      <w:r w:rsidR="00165DEC">
        <w:rPr>
          <w:rFonts w:ascii="Times New Roman" w:hAnsi="Times New Roman" w:cs="Times New Roman"/>
          <w:sz w:val="24"/>
          <w:szCs w:val="24"/>
        </w:rPr>
        <w:t>ell</w:t>
      </w:r>
      <w:r w:rsidR="00B54314" w:rsidRPr="00B54314">
        <w:rPr>
          <w:rFonts w:ascii="Times New Roman" w:hAnsi="Times New Roman" w:cs="Times New Roman"/>
          <w:sz w:val="24"/>
          <w:szCs w:val="24"/>
        </w:rPr>
        <w:t xml:space="preserve"> from 89 to 82 percent between 1999 and 2018, </w:t>
      </w:r>
      <w:proofErr w:type="gramStart"/>
      <w:r w:rsidR="00B54314" w:rsidRPr="00B54314">
        <w:rPr>
          <w:rFonts w:ascii="Times New Roman" w:hAnsi="Times New Roman" w:cs="Times New Roman"/>
          <w:sz w:val="24"/>
          <w:szCs w:val="24"/>
        </w:rPr>
        <w:t xml:space="preserve">as compared to a </w:t>
      </w:r>
      <w:r w:rsidR="00165DEC">
        <w:rPr>
          <w:rFonts w:ascii="Times New Roman" w:hAnsi="Times New Roman" w:cs="Times New Roman"/>
          <w:sz w:val="24"/>
          <w:szCs w:val="24"/>
        </w:rPr>
        <w:t>dip</w:t>
      </w:r>
      <w:r w:rsidR="00B54314" w:rsidRPr="00B54314">
        <w:rPr>
          <w:rFonts w:ascii="Times New Roman" w:hAnsi="Times New Roman" w:cs="Times New Roman"/>
          <w:sz w:val="24"/>
          <w:szCs w:val="24"/>
        </w:rPr>
        <w:t xml:space="preserve"> from 95 to 94 percent among their counterparts</w:t>
      </w:r>
      <w:r w:rsidR="00165DEC">
        <w:rPr>
          <w:rFonts w:ascii="Times New Roman" w:hAnsi="Times New Roman" w:cs="Times New Roman"/>
          <w:sz w:val="24"/>
          <w:szCs w:val="24"/>
        </w:rPr>
        <w:t xml:space="preserve"> with at least a bachelor’s degree</w:t>
      </w:r>
      <w:r w:rsidR="00B54314" w:rsidRPr="00B54314">
        <w:rPr>
          <w:rFonts w:ascii="Times New Roman" w:hAnsi="Times New Roman" w:cs="Times New Roman"/>
          <w:sz w:val="24"/>
          <w:szCs w:val="24"/>
        </w:rPr>
        <w:t xml:space="preserve"> (Abraham and Kearney, </w:t>
      </w:r>
      <w:r w:rsidR="002429A5">
        <w:rPr>
          <w:rFonts w:ascii="Times New Roman" w:hAnsi="Times New Roman" w:cs="Times New Roman"/>
          <w:sz w:val="24"/>
          <w:szCs w:val="24"/>
        </w:rPr>
        <w:t>forthcoming</w:t>
      </w:r>
      <w:r w:rsidR="00B54314" w:rsidRPr="00B54314">
        <w:rPr>
          <w:rFonts w:ascii="Times New Roman" w:hAnsi="Times New Roman" w:cs="Times New Roman"/>
          <w:sz w:val="24"/>
          <w:szCs w:val="24"/>
        </w:rPr>
        <w:t>)</w:t>
      </w:r>
      <w:proofErr w:type="gramEnd"/>
      <w:r w:rsidR="00B54314" w:rsidRPr="00B54314">
        <w:rPr>
          <w:rFonts w:ascii="Times New Roman" w:hAnsi="Times New Roman" w:cs="Times New Roman"/>
          <w:sz w:val="24"/>
          <w:szCs w:val="24"/>
        </w:rPr>
        <w:t xml:space="preserve">. </w:t>
      </w:r>
      <w:r>
        <w:rPr>
          <w:rFonts w:ascii="Times New Roman" w:hAnsi="Times New Roman" w:cs="Times New Roman"/>
          <w:sz w:val="24"/>
          <w:szCs w:val="24"/>
        </w:rPr>
        <w:t xml:space="preserve">Not surprisingly, economic insecurity, as captured by the likelihood of </w:t>
      </w:r>
      <w:r>
        <w:rPr>
          <w:rFonts w:ascii="Times New Roman" w:hAnsi="Times New Roman" w:cs="Times New Roman"/>
          <w:sz w:val="24"/>
          <w:szCs w:val="24"/>
        </w:rPr>
        <w:lastRenderedPageBreak/>
        <w:t xml:space="preserve">living in </w:t>
      </w:r>
      <w:r w:rsidR="001D44BF">
        <w:rPr>
          <w:rFonts w:ascii="Times New Roman" w:hAnsi="Times New Roman" w:cs="Times New Roman"/>
          <w:sz w:val="24"/>
          <w:szCs w:val="24"/>
        </w:rPr>
        <w:t xml:space="preserve">or near </w:t>
      </w:r>
      <w:r>
        <w:rPr>
          <w:rFonts w:ascii="Times New Roman" w:hAnsi="Times New Roman" w:cs="Times New Roman"/>
          <w:sz w:val="24"/>
          <w:szCs w:val="24"/>
        </w:rPr>
        <w:t xml:space="preserve">poverty, is much higher among the non-college educated. </w:t>
      </w:r>
      <w:r w:rsidR="00423C4A">
        <w:rPr>
          <w:rFonts w:ascii="Times New Roman" w:hAnsi="Times New Roman" w:cs="Times New Roman"/>
          <w:sz w:val="24"/>
          <w:szCs w:val="24"/>
        </w:rPr>
        <w:t xml:space="preserve">In 2018, 4.4 percent of college graduates lived below the official federal poverty threshold, as compared to 12.7 percent of high school graduates and 25.9 percent of adults without a high school degree </w:t>
      </w:r>
      <w:r w:rsidR="00B9630D">
        <w:rPr>
          <w:rFonts w:ascii="Times New Roman" w:hAnsi="Times New Roman" w:cs="Times New Roman"/>
          <w:sz w:val="24"/>
          <w:szCs w:val="24"/>
        </w:rPr>
        <w:t>(</w:t>
      </w:r>
      <w:proofErr w:type="spellStart"/>
      <w:r w:rsidR="00423C4A">
        <w:rPr>
          <w:rFonts w:ascii="Times New Roman" w:hAnsi="Times New Roman" w:cs="Times New Roman"/>
          <w:sz w:val="24"/>
          <w:szCs w:val="24"/>
        </w:rPr>
        <w:t>Semega</w:t>
      </w:r>
      <w:proofErr w:type="spellEnd"/>
      <w:r w:rsidR="00423C4A">
        <w:rPr>
          <w:rFonts w:ascii="Times New Roman" w:hAnsi="Times New Roman" w:cs="Times New Roman"/>
          <w:sz w:val="24"/>
          <w:szCs w:val="24"/>
        </w:rPr>
        <w:t xml:space="preserve"> et al, 2019</w:t>
      </w:r>
      <w:r>
        <w:rPr>
          <w:rFonts w:ascii="Times New Roman" w:hAnsi="Times New Roman" w:cs="Times New Roman"/>
          <w:sz w:val="24"/>
          <w:szCs w:val="24"/>
        </w:rPr>
        <w:t>).</w:t>
      </w:r>
    </w:p>
    <w:p w14:paraId="3BBF5607" w14:textId="16C1030F" w:rsidR="000D5FE0" w:rsidRDefault="00B9630D" w:rsidP="00E34AE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w:t>
      </w:r>
      <w:r w:rsidR="00B256E5">
        <w:rPr>
          <w:rFonts w:ascii="Times New Roman" w:hAnsi="Times New Roman" w:cs="Times New Roman"/>
          <w:sz w:val="24"/>
          <w:szCs w:val="24"/>
        </w:rPr>
        <w:t xml:space="preserve"> divergent economic outcomes of those with and without a college degree have </w:t>
      </w:r>
      <w:r w:rsidR="00C44504">
        <w:rPr>
          <w:rFonts w:ascii="Times New Roman" w:hAnsi="Times New Roman" w:cs="Times New Roman"/>
          <w:sz w:val="24"/>
          <w:szCs w:val="24"/>
        </w:rPr>
        <w:t xml:space="preserve">led many observers to emphasize the need for increased skill attainment, in particular increased college attainment, to boost </w:t>
      </w:r>
      <w:r w:rsidR="00B54314">
        <w:rPr>
          <w:rFonts w:ascii="Times New Roman" w:hAnsi="Times New Roman" w:cs="Times New Roman"/>
          <w:sz w:val="24"/>
          <w:szCs w:val="24"/>
        </w:rPr>
        <w:t xml:space="preserve">individual </w:t>
      </w:r>
      <w:r w:rsidR="00C44504">
        <w:rPr>
          <w:rFonts w:ascii="Times New Roman" w:hAnsi="Times New Roman" w:cs="Times New Roman"/>
          <w:sz w:val="24"/>
          <w:szCs w:val="24"/>
        </w:rPr>
        <w:t>economic security and address rising income inequality.</w:t>
      </w:r>
      <w:r w:rsidR="00B54314">
        <w:rPr>
          <w:rFonts w:ascii="Times New Roman" w:hAnsi="Times New Roman" w:cs="Times New Roman"/>
          <w:sz w:val="24"/>
          <w:szCs w:val="24"/>
        </w:rPr>
        <w:t xml:space="preserve"> </w:t>
      </w:r>
      <w:r w:rsidR="000D5FE0">
        <w:rPr>
          <w:rFonts w:ascii="Times New Roman" w:hAnsi="Times New Roman" w:cs="Times New Roman"/>
          <w:sz w:val="24"/>
          <w:szCs w:val="24"/>
        </w:rPr>
        <w:t xml:space="preserve">The emphasis on increasing the supply of college graduates to the workforce as a response to the rise in earnings inequality is consistent with the arguments emphasized in the 2008 </w:t>
      </w:r>
      <w:r w:rsidR="00B256E5">
        <w:rPr>
          <w:rFonts w:ascii="Times New Roman" w:hAnsi="Times New Roman" w:cs="Times New Roman"/>
          <w:sz w:val="24"/>
          <w:szCs w:val="24"/>
        </w:rPr>
        <w:t>book by Goldin and Katz</w:t>
      </w:r>
      <w:r w:rsidR="0073468C">
        <w:rPr>
          <w:rFonts w:ascii="Times New Roman" w:hAnsi="Times New Roman" w:cs="Times New Roman"/>
          <w:sz w:val="24"/>
          <w:szCs w:val="24"/>
        </w:rPr>
        <w:t>,</w:t>
      </w:r>
      <w:r w:rsidR="00B256E5">
        <w:rPr>
          <w:rFonts w:ascii="Times New Roman" w:hAnsi="Times New Roman" w:cs="Times New Roman"/>
          <w:sz w:val="24"/>
          <w:szCs w:val="24"/>
        </w:rPr>
        <w:t xml:space="preserve"> </w:t>
      </w:r>
      <w:r w:rsidR="000D5FE0" w:rsidRPr="00B256E5">
        <w:rPr>
          <w:rFonts w:ascii="Times New Roman" w:hAnsi="Times New Roman" w:cs="Times New Roman"/>
          <w:i/>
          <w:sz w:val="24"/>
          <w:szCs w:val="24"/>
        </w:rPr>
        <w:t xml:space="preserve">The Race </w:t>
      </w:r>
      <w:proofErr w:type="gramStart"/>
      <w:r w:rsidR="000D5FE0" w:rsidRPr="00B256E5">
        <w:rPr>
          <w:rFonts w:ascii="Times New Roman" w:hAnsi="Times New Roman" w:cs="Times New Roman"/>
          <w:i/>
          <w:sz w:val="24"/>
          <w:szCs w:val="24"/>
        </w:rPr>
        <w:t>Between</w:t>
      </w:r>
      <w:proofErr w:type="gramEnd"/>
      <w:r w:rsidR="000D5FE0" w:rsidRPr="00B256E5">
        <w:rPr>
          <w:rFonts w:ascii="Times New Roman" w:hAnsi="Times New Roman" w:cs="Times New Roman"/>
          <w:i/>
          <w:sz w:val="24"/>
          <w:szCs w:val="24"/>
        </w:rPr>
        <w:t xml:space="preserve"> Education and Technology</w:t>
      </w:r>
      <w:r w:rsidR="000D5FE0">
        <w:rPr>
          <w:rFonts w:ascii="Times New Roman" w:hAnsi="Times New Roman" w:cs="Times New Roman"/>
          <w:sz w:val="24"/>
          <w:szCs w:val="24"/>
        </w:rPr>
        <w:t>.</w:t>
      </w:r>
      <w:r w:rsidR="00B256E5">
        <w:rPr>
          <w:rFonts w:ascii="Times New Roman" w:hAnsi="Times New Roman" w:cs="Times New Roman"/>
          <w:sz w:val="24"/>
          <w:szCs w:val="24"/>
        </w:rPr>
        <w:t xml:space="preserve"> The thesis of the book </w:t>
      </w:r>
      <w:proofErr w:type="gramStart"/>
      <w:r w:rsidR="000D5FE0">
        <w:rPr>
          <w:rFonts w:ascii="Times New Roman" w:hAnsi="Times New Roman" w:cs="Times New Roman"/>
          <w:sz w:val="24"/>
          <w:szCs w:val="24"/>
        </w:rPr>
        <w:t>is based</w:t>
      </w:r>
      <w:proofErr w:type="gramEnd"/>
      <w:r w:rsidR="000D5FE0">
        <w:rPr>
          <w:rFonts w:ascii="Times New Roman" w:hAnsi="Times New Roman" w:cs="Times New Roman"/>
          <w:sz w:val="24"/>
          <w:szCs w:val="24"/>
        </w:rPr>
        <w:t xml:space="preserve"> </w:t>
      </w:r>
      <w:r w:rsidR="006A7A3C">
        <w:rPr>
          <w:rFonts w:ascii="Times New Roman" w:hAnsi="Times New Roman" w:cs="Times New Roman"/>
          <w:sz w:val="24"/>
          <w:szCs w:val="24"/>
        </w:rPr>
        <w:t>o</w:t>
      </w:r>
      <w:r w:rsidR="000D5FE0">
        <w:rPr>
          <w:rFonts w:ascii="Times New Roman" w:hAnsi="Times New Roman" w:cs="Times New Roman"/>
          <w:sz w:val="24"/>
          <w:szCs w:val="24"/>
        </w:rPr>
        <w:t xml:space="preserve">n the canonical supply and demand framework of </w:t>
      </w:r>
      <w:r w:rsidR="00085196">
        <w:rPr>
          <w:rFonts w:ascii="Times New Roman" w:hAnsi="Times New Roman" w:cs="Times New Roman"/>
          <w:sz w:val="24"/>
          <w:szCs w:val="24"/>
        </w:rPr>
        <w:t>wage determination. In highly simplified terms, the basic observation of Goldin and Katz (2008)</w:t>
      </w:r>
      <w:r w:rsidR="006A7A3C">
        <w:rPr>
          <w:rFonts w:ascii="Times New Roman" w:hAnsi="Times New Roman" w:cs="Times New Roman"/>
          <w:sz w:val="24"/>
          <w:szCs w:val="24"/>
        </w:rPr>
        <w:t xml:space="preserve"> </w:t>
      </w:r>
      <w:r w:rsidR="00085196">
        <w:rPr>
          <w:rFonts w:ascii="Times New Roman" w:hAnsi="Times New Roman" w:cs="Times New Roman"/>
          <w:sz w:val="24"/>
          <w:szCs w:val="24"/>
        </w:rPr>
        <w:t>is that during the 1980s and 1990s, the demand for college-educated workers rose fa</w:t>
      </w:r>
      <w:r w:rsidR="00B256E5">
        <w:rPr>
          <w:rFonts w:ascii="Times New Roman" w:hAnsi="Times New Roman" w:cs="Times New Roman"/>
          <w:sz w:val="24"/>
          <w:szCs w:val="24"/>
        </w:rPr>
        <w:t>ster than the supply of college-</w:t>
      </w:r>
      <w:r w:rsidR="00085196">
        <w:rPr>
          <w:rFonts w:ascii="Times New Roman" w:hAnsi="Times New Roman" w:cs="Times New Roman"/>
          <w:sz w:val="24"/>
          <w:szCs w:val="24"/>
        </w:rPr>
        <w:t>educated workers</w:t>
      </w:r>
      <w:r w:rsidR="006A7A3C">
        <w:rPr>
          <w:rFonts w:ascii="Times New Roman" w:hAnsi="Times New Roman" w:cs="Times New Roman"/>
          <w:sz w:val="24"/>
          <w:szCs w:val="24"/>
        </w:rPr>
        <w:t>, leading to a rise in their relative wage</w:t>
      </w:r>
      <w:r w:rsidR="00085196">
        <w:rPr>
          <w:rFonts w:ascii="Times New Roman" w:hAnsi="Times New Roman" w:cs="Times New Roman"/>
          <w:sz w:val="24"/>
          <w:szCs w:val="24"/>
        </w:rPr>
        <w:t>.</w:t>
      </w:r>
      <w:r w:rsidR="006A7A3C">
        <w:rPr>
          <w:rStyle w:val="FootnoteReference"/>
          <w:rFonts w:ascii="Times New Roman" w:hAnsi="Times New Roman" w:cs="Times New Roman"/>
          <w:sz w:val="24"/>
          <w:szCs w:val="24"/>
        </w:rPr>
        <w:footnoteReference w:id="2"/>
      </w:r>
    </w:p>
    <w:p w14:paraId="170F7A5A" w14:textId="75DDF54A" w:rsidR="0072167F" w:rsidRDefault="002429A5" w:rsidP="005405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this paper, w</w:t>
      </w:r>
      <w:r w:rsidR="00423C4A">
        <w:rPr>
          <w:rFonts w:ascii="Times New Roman" w:hAnsi="Times New Roman" w:cs="Times New Roman"/>
          <w:sz w:val="24"/>
          <w:szCs w:val="24"/>
        </w:rPr>
        <w:t xml:space="preserve">e conduct a </w:t>
      </w:r>
      <w:r w:rsidR="0072167F">
        <w:rPr>
          <w:rFonts w:ascii="Times New Roman" w:hAnsi="Times New Roman" w:cs="Times New Roman"/>
          <w:sz w:val="24"/>
          <w:szCs w:val="24"/>
        </w:rPr>
        <w:t xml:space="preserve">simulation exercise that </w:t>
      </w:r>
      <w:r w:rsidR="009203D3">
        <w:rPr>
          <w:rFonts w:ascii="Times New Roman" w:hAnsi="Times New Roman" w:cs="Times New Roman"/>
          <w:sz w:val="24"/>
          <w:szCs w:val="24"/>
        </w:rPr>
        <w:t>gauges</w:t>
      </w:r>
      <w:r w:rsidR="0072167F">
        <w:rPr>
          <w:rFonts w:ascii="Times New Roman" w:hAnsi="Times New Roman" w:cs="Times New Roman"/>
          <w:sz w:val="24"/>
          <w:szCs w:val="24"/>
        </w:rPr>
        <w:t xml:space="preserve"> the </w:t>
      </w:r>
      <w:r w:rsidR="004F79A1">
        <w:rPr>
          <w:rFonts w:ascii="Times New Roman" w:hAnsi="Times New Roman" w:cs="Times New Roman"/>
          <w:sz w:val="24"/>
          <w:szCs w:val="24"/>
        </w:rPr>
        <w:t xml:space="preserve">plausible </w:t>
      </w:r>
      <w:r w:rsidR="0072167F">
        <w:rPr>
          <w:rFonts w:ascii="Times New Roman" w:hAnsi="Times New Roman" w:cs="Times New Roman"/>
          <w:sz w:val="24"/>
          <w:szCs w:val="24"/>
        </w:rPr>
        <w:t>impact of increased rates of college attainment on</w:t>
      </w:r>
      <w:r w:rsidR="00F67FE2">
        <w:rPr>
          <w:rFonts w:ascii="Times New Roman" w:hAnsi="Times New Roman" w:cs="Times New Roman"/>
          <w:sz w:val="24"/>
          <w:szCs w:val="24"/>
        </w:rPr>
        <w:t xml:space="preserve"> a variety of</w:t>
      </w:r>
      <w:r w:rsidR="0072167F">
        <w:rPr>
          <w:rFonts w:ascii="Times New Roman" w:hAnsi="Times New Roman" w:cs="Times New Roman"/>
          <w:sz w:val="24"/>
          <w:szCs w:val="24"/>
        </w:rPr>
        <w:t xml:space="preserve"> </w:t>
      </w:r>
      <w:r w:rsidR="00F67FE2">
        <w:rPr>
          <w:rFonts w:ascii="Times New Roman" w:hAnsi="Times New Roman" w:cs="Times New Roman"/>
          <w:sz w:val="24"/>
          <w:szCs w:val="24"/>
        </w:rPr>
        <w:t xml:space="preserve">measures of </w:t>
      </w:r>
      <w:r w:rsidR="00B256E5">
        <w:rPr>
          <w:rFonts w:ascii="Times New Roman" w:hAnsi="Times New Roman" w:cs="Times New Roman"/>
          <w:sz w:val="24"/>
          <w:szCs w:val="24"/>
        </w:rPr>
        <w:t xml:space="preserve">income inequality and </w:t>
      </w:r>
      <w:r w:rsidR="0072167F">
        <w:rPr>
          <w:rFonts w:ascii="Times New Roman" w:hAnsi="Times New Roman" w:cs="Times New Roman"/>
          <w:sz w:val="24"/>
          <w:szCs w:val="24"/>
        </w:rPr>
        <w:t xml:space="preserve">economic </w:t>
      </w:r>
      <w:r w:rsidR="00B256E5">
        <w:rPr>
          <w:rFonts w:ascii="Times New Roman" w:hAnsi="Times New Roman" w:cs="Times New Roman"/>
          <w:sz w:val="24"/>
          <w:szCs w:val="24"/>
        </w:rPr>
        <w:t>in</w:t>
      </w:r>
      <w:r w:rsidR="0072167F">
        <w:rPr>
          <w:rFonts w:ascii="Times New Roman" w:hAnsi="Times New Roman" w:cs="Times New Roman"/>
          <w:sz w:val="24"/>
          <w:szCs w:val="24"/>
        </w:rPr>
        <w:t>security</w:t>
      </w:r>
      <w:r w:rsidR="00B256E5">
        <w:rPr>
          <w:rFonts w:ascii="Times New Roman" w:hAnsi="Times New Roman" w:cs="Times New Roman"/>
          <w:sz w:val="24"/>
          <w:szCs w:val="24"/>
        </w:rPr>
        <w:t>.</w:t>
      </w:r>
      <w:r w:rsidR="0072167F">
        <w:rPr>
          <w:rFonts w:ascii="Times New Roman" w:hAnsi="Times New Roman" w:cs="Times New Roman"/>
          <w:sz w:val="24"/>
          <w:szCs w:val="24"/>
        </w:rPr>
        <w:t xml:space="preserve"> </w:t>
      </w:r>
      <w:r w:rsidR="00915BE4">
        <w:rPr>
          <w:rFonts w:ascii="Times New Roman" w:hAnsi="Times New Roman" w:cs="Times New Roman"/>
          <w:sz w:val="24"/>
          <w:szCs w:val="24"/>
        </w:rPr>
        <w:t xml:space="preserve">Although several </w:t>
      </w:r>
      <w:r w:rsidR="00641168">
        <w:rPr>
          <w:rFonts w:ascii="Times New Roman" w:hAnsi="Times New Roman" w:cs="Times New Roman"/>
          <w:sz w:val="24"/>
          <w:szCs w:val="24"/>
        </w:rPr>
        <w:t>channels for increasing college attainment have been propos</w:t>
      </w:r>
      <w:r w:rsidR="00E82EC4">
        <w:rPr>
          <w:rFonts w:ascii="Times New Roman" w:hAnsi="Times New Roman" w:cs="Times New Roman"/>
          <w:sz w:val="24"/>
          <w:szCs w:val="24"/>
        </w:rPr>
        <w:t>ed</w:t>
      </w:r>
      <w:r w:rsidR="0073468C">
        <w:rPr>
          <w:rFonts w:ascii="Times New Roman" w:hAnsi="Times New Roman" w:cs="Times New Roman"/>
          <w:sz w:val="24"/>
          <w:szCs w:val="24"/>
        </w:rPr>
        <w:t>—</w:t>
      </w:r>
      <w:r w:rsidR="00641168">
        <w:rPr>
          <w:rFonts w:ascii="Times New Roman" w:hAnsi="Times New Roman" w:cs="Times New Roman"/>
          <w:sz w:val="24"/>
          <w:szCs w:val="24"/>
        </w:rPr>
        <w:t>including</w:t>
      </w:r>
      <w:r w:rsidR="0073468C">
        <w:rPr>
          <w:rFonts w:ascii="Times New Roman" w:hAnsi="Times New Roman" w:cs="Times New Roman"/>
          <w:sz w:val="24"/>
          <w:szCs w:val="24"/>
        </w:rPr>
        <w:t xml:space="preserve"> </w:t>
      </w:r>
      <w:r w:rsidR="00641168">
        <w:rPr>
          <w:rFonts w:ascii="Times New Roman" w:hAnsi="Times New Roman" w:cs="Times New Roman"/>
          <w:sz w:val="24"/>
          <w:szCs w:val="24"/>
        </w:rPr>
        <w:t>additional funding for higher education institutions, expanded access to free or reduced tuition for students, and behavioral or information interventions</w:t>
      </w:r>
      <w:r w:rsidR="006B2B53">
        <w:rPr>
          <w:rFonts w:ascii="Times New Roman" w:hAnsi="Times New Roman" w:cs="Times New Roman"/>
          <w:sz w:val="24"/>
          <w:szCs w:val="24"/>
        </w:rPr>
        <w:t>—</w:t>
      </w:r>
      <w:r w:rsidR="00641168">
        <w:rPr>
          <w:rFonts w:ascii="Times New Roman" w:hAnsi="Times New Roman" w:cs="Times New Roman"/>
          <w:sz w:val="24"/>
          <w:szCs w:val="24"/>
        </w:rPr>
        <w:t>w</w:t>
      </w:r>
      <w:r w:rsidR="00423C4A">
        <w:rPr>
          <w:rFonts w:ascii="Times New Roman" w:hAnsi="Times New Roman" w:cs="Times New Roman"/>
          <w:sz w:val="24"/>
          <w:szCs w:val="24"/>
        </w:rPr>
        <w:t xml:space="preserve">e set aside any consideration of the costs or effectiveness of </w:t>
      </w:r>
      <w:r w:rsidR="00641168">
        <w:rPr>
          <w:rFonts w:ascii="Times New Roman" w:hAnsi="Times New Roman" w:cs="Times New Roman"/>
          <w:sz w:val="24"/>
          <w:szCs w:val="24"/>
        </w:rPr>
        <w:t xml:space="preserve">these </w:t>
      </w:r>
      <w:r w:rsidR="00423C4A">
        <w:rPr>
          <w:rFonts w:ascii="Times New Roman" w:hAnsi="Times New Roman" w:cs="Times New Roman"/>
          <w:sz w:val="24"/>
          <w:szCs w:val="24"/>
        </w:rPr>
        <w:t xml:space="preserve">various </w:t>
      </w:r>
      <w:r w:rsidR="00641168">
        <w:rPr>
          <w:rFonts w:ascii="Times New Roman" w:hAnsi="Times New Roman" w:cs="Times New Roman"/>
          <w:sz w:val="24"/>
          <w:szCs w:val="24"/>
        </w:rPr>
        <w:t>approaches to focus on outcomes</w:t>
      </w:r>
      <w:r w:rsidR="00423C4A">
        <w:rPr>
          <w:rFonts w:ascii="Times New Roman" w:hAnsi="Times New Roman" w:cs="Times New Roman"/>
          <w:sz w:val="24"/>
          <w:szCs w:val="24"/>
        </w:rPr>
        <w:t xml:space="preserve">. </w:t>
      </w:r>
      <w:r w:rsidR="0072167F">
        <w:rPr>
          <w:rFonts w:ascii="Times New Roman" w:hAnsi="Times New Roman" w:cs="Times New Roman"/>
          <w:sz w:val="24"/>
          <w:szCs w:val="24"/>
        </w:rPr>
        <w:t>The results of this simulation exercise reveal that a sizable increase in rates of college attainment would meaningful</w:t>
      </w:r>
      <w:r w:rsidR="009203D3">
        <w:rPr>
          <w:rFonts w:ascii="Times New Roman" w:hAnsi="Times New Roman" w:cs="Times New Roman"/>
          <w:sz w:val="24"/>
          <w:szCs w:val="24"/>
        </w:rPr>
        <w:t>ly</w:t>
      </w:r>
      <w:r w:rsidR="0072167F">
        <w:rPr>
          <w:rFonts w:ascii="Times New Roman" w:hAnsi="Times New Roman" w:cs="Times New Roman"/>
          <w:sz w:val="24"/>
          <w:szCs w:val="24"/>
        </w:rPr>
        <w:t xml:space="preserve"> increase economic security for individuals near the bottom of the earnings </w:t>
      </w:r>
      <w:r w:rsidR="0072167F">
        <w:rPr>
          <w:rFonts w:ascii="Times New Roman" w:hAnsi="Times New Roman" w:cs="Times New Roman"/>
          <w:sz w:val="24"/>
          <w:szCs w:val="24"/>
        </w:rPr>
        <w:lastRenderedPageBreak/>
        <w:t>distribution</w:t>
      </w:r>
      <w:r w:rsidR="009203D3">
        <w:rPr>
          <w:rFonts w:ascii="Times New Roman" w:hAnsi="Times New Roman" w:cs="Times New Roman"/>
          <w:sz w:val="24"/>
          <w:szCs w:val="24"/>
        </w:rPr>
        <w:t>.</w:t>
      </w:r>
      <w:r w:rsidR="0072167F">
        <w:rPr>
          <w:rFonts w:ascii="Times New Roman" w:hAnsi="Times New Roman" w:cs="Times New Roman"/>
          <w:sz w:val="24"/>
          <w:szCs w:val="24"/>
        </w:rPr>
        <w:t xml:space="preserve"> </w:t>
      </w:r>
      <w:r w:rsidR="009203D3">
        <w:rPr>
          <w:rFonts w:ascii="Times New Roman" w:hAnsi="Times New Roman" w:cs="Times New Roman"/>
          <w:sz w:val="24"/>
          <w:szCs w:val="24"/>
        </w:rPr>
        <w:t xml:space="preserve">It </w:t>
      </w:r>
      <w:r w:rsidR="0072167F">
        <w:rPr>
          <w:rFonts w:ascii="Times New Roman" w:hAnsi="Times New Roman" w:cs="Times New Roman"/>
          <w:sz w:val="24"/>
          <w:szCs w:val="24"/>
        </w:rPr>
        <w:t xml:space="preserve">would </w:t>
      </w:r>
      <w:r w:rsidR="009203D3">
        <w:rPr>
          <w:rFonts w:ascii="Times New Roman" w:hAnsi="Times New Roman" w:cs="Times New Roman"/>
          <w:sz w:val="24"/>
          <w:szCs w:val="24"/>
        </w:rPr>
        <w:t xml:space="preserve">also </w:t>
      </w:r>
      <w:r w:rsidR="0072167F">
        <w:rPr>
          <w:rFonts w:ascii="Times New Roman" w:hAnsi="Times New Roman" w:cs="Times New Roman"/>
          <w:sz w:val="24"/>
          <w:szCs w:val="24"/>
        </w:rPr>
        <w:t xml:space="preserve">shrink gaps between the </w:t>
      </w:r>
      <w:r w:rsidR="006B2B53">
        <w:rPr>
          <w:rFonts w:ascii="Times New Roman" w:hAnsi="Times New Roman" w:cs="Times New Roman"/>
          <w:sz w:val="24"/>
          <w:szCs w:val="24"/>
        </w:rPr>
        <w:t>90</w:t>
      </w:r>
      <w:r w:rsidR="006B2B53" w:rsidRPr="00540511">
        <w:rPr>
          <w:rFonts w:ascii="Times New Roman" w:hAnsi="Times New Roman" w:cs="Times New Roman"/>
          <w:sz w:val="24"/>
          <w:szCs w:val="24"/>
          <w:vertAlign w:val="superscript"/>
        </w:rPr>
        <w:t>th</w:t>
      </w:r>
      <w:r w:rsidR="006B2B53">
        <w:rPr>
          <w:rFonts w:ascii="Times New Roman" w:hAnsi="Times New Roman" w:cs="Times New Roman"/>
          <w:sz w:val="24"/>
          <w:szCs w:val="24"/>
        </w:rPr>
        <w:t xml:space="preserve"> percentile and lower half </w:t>
      </w:r>
      <w:r w:rsidR="0072167F">
        <w:rPr>
          <w:rFonts w:ascii="Times New Roman" w:hAnsi="Times New Roman" w:cs="Times New Roman"/>
          <w:sz w:val="24"/>
          <w:szCs w:val="24"/>
        </w:rPr>
        <w:t>of the earnings distribution</w:t>
      </w:r>
      <w:r w:rsidR="006B2B53">
        <w:rPr>
          <w:rFonts w:ascii="Times New Roman" w:hAnsi="Times New Roman" w:cs="Times New Roman"/>
          <w:sz w:val="24"/>
          <w:szCs w:val="24"/>
        </w:rPr>
        <w:t xml:space="preserve">, as well as between the median </w:t>
      </w:r>
      <w:r w:rsidR="0072167F">
        <w:rPr>
          <w:rFonts w:ascii="Times New Roman" w:hAnsi="Times New Roman" w:cs="Times New Roman"/>
          <w:sz w:val="24"/>
          <w:szCs w:val="24"/>
        </w:rPr>
        <w:t xml:space="preserve">and </w:t>
      </w:r>
      <w:r w:rsidR="006B2B53">
        <w:rPr>
          <w:rFonts w:ascii="Times New Roman" w:hAnsi="Times New Roman" w:cs="Times New Roman"/>
          <w:sz w:val="24"/>
          <w:szCs w:val="24"/>
        </w:rPr>
        <w:t>bottom in most cases</w:t>
      </w:r>
      <w:r w:rsidR="0072167F">
        <w:rPr>
          <w:rFonts w:ascii="Times New Roman" w:hAnsi="Times New Roman" w:cs="Times New Roman"/>
          <w:sz w:val="24"/>
          <w:szCs w:val="24"/>
        </w:rPr>
        <w:t xml:space="preserve">. However, increases in college attainment would not significantly reduce </w:t>
      </w:r>
      <w:r w:rsidR="00423C4A">
        <w:rPr>
          <w:rFonts w:ascii="Times New Roman" w:hAnsi="Times New Roman" w:cs="Times New Roman"/>
          <w:sz w:val="24"/>
          <w:szCs w:val="24"/>
        </w:rPr>
        <w:t>upper tail inequality or</w:t>
      </w:r>
      <w:r w:rsidR="0072167F">
        <w:rPr>
          <w:rFonts w:ascii="Times New Roman" w:hAnsi="Times New Roman" w:cs="Times New Roman"/>
          <w:sz w:val="24"/>
          <w:szCs w:val="24"/>
        </w:rPr>
        <w:t xml:space="preserve"> the amount of income going to earners in the top percentiles. The policy prescription of increased educational attainment should thus appeal to those whose primary concern is the economic security of </w:t>
      </w:r>
      <w:r w:rsidR="000B65A8">
        <w:rPr>
          <w:rFonts w:ascii="Times New Roman" w:hAnsi="Times New Roman" w:cs="Times New Roman"/>
          <w:sz w:val="24"/>
          <w:szCs w:val="24"/>
        </w:rPr>
        <w:t>poorer</w:t>
      </w:r>
      <w:r w:rsidR="0072167F">
        <w:rPr>
          <w:rFonts w:ascii="Times New Roman" w:hAnsi="Times New Roman" w:cs="Times New Roman"/>
          <w:sz w:val="24"/>
          <w:szCs w:val="24"/>
        </w:rPr>
        <w:t xml:space="preserve"> individuals, but it will not satisfy the goals of those whose primary concern is </w:t>
      </w:r>
      <w:r w:rsidR="000B65A8">
        <w:rPr>
          <w:rFonts w:ascii="Times New Roman" w:hAnsi="Times New Roman" w:cs="Times New Roman"/>
          <w:sz w:val="24"/>
          <w:szCs w:val="24"/>
        </w:rPr>
        <w:t>the reduction of</w:t>
      </w:r>
      <w:r w:rsidR="0072167F">
        <w:rPr>
          <w:rFonts w:ascii="Times New Roman" w:hAnsi="Times New Roman" w:cs="Times New Roman"/>
          <w:sz w:val="24"/>
          <w:szCs w:val="24"/>
        </w:rPr>
        <w:t xml:space="preserve"> </w:t>
      </w:r>
      <w:r w:rsidR="009203D3">
        <w:rPr>
          <w:rFonts w:ascii="Times New Roman" w:hAnsi="Times New Roman" w:cs="Times New Roman"/>
          <w:sz w:val="24"/>
          <w:szCs w:val="24"/>
        </w:rPr>
        <w:t xml:space="preserve">overall income inequality or </w:t>
      </w:r>
      <w:r w:rsidR="0072167F">
        <w:rPr>
          <w:rFonts w:ascii="Times New Roman" w:hAnsi="Times New Roman" w:cs="Times New Roman"/>
          <w:sz w:val="24"/>
          <w:szCs w:val="24"/>
        </w:rPr>
        <w:t>income shares at the top of the distribution.</w:t>
      </w:r>
      <w:r w:rsidR="003311EB">
        <w:rPr>
          <w:rStyle w:val="FootnoteReference"/>
          <w:rFonts w:ascii="Times New Roman" w:hAnsi="Times New Roman" w:cs="Times New Roman"/>
          <w:sz w:val="24"/>
          <w:szCs w:val="24"/>
        </w:rPr>
        <w:footnoteReference w:id="3"/>
      </w:r>
    </w:p>
    <w:p w14:paraId="4E7A8AC2" w14:textId="77777777" w:rsidR="00ED22D9" w:rsidRDefault="00ED22D9" w:rsidP="00E34AE4">
      <w:pPr>
        <w:spacing w:after="0" w:line="480" w:lineRule="auto"/>
        <w:ind w:firstLine="720"/>
        <w:rPr>
          <w:rFonts w:ascii="Times New Roman" w:hAnsi="Times New Roman" w:cs="Times New Roman"/>
          <w:sz w:val="24"/>
          <w:szCs w:val="24"/>
        </w:rPr>
      </w:pPr>
    </w:p>
    <w:p w14:paraId="2F3A5DBA" w14:textId="0FF01DAC" w:rsidR="006F18EF" w:rsidRDefault="0034511E" w:rsidP="00540511">
      <w:pPr>
        <w:pStyle w:val="ListParagraph"/>
        <w:numPr>
          <w:ilvl w:val="0"/>
          <w:numId w:val="12"/>
        </w:numPr>
        <w:spacing w:after="0" w:line="480" w:lineRule="auto"/>
        <w:ind w:left="720"/>
        <w:rPr>
          <w:rFonts w:ascii="Times New Roman" w:hAnsi="Times New Roman" w:cs="Times New Roman"/>
          <w:b/>
          <w:i/>
          <w:sz w:val="24"/>
          <w:szCs w:val="24"/>
        </w:rPr>
      </w:pPr>
      <w:r w:rsidRPr="0034511E">
        <w:rPr>
          <w:rFonts w:ascii="Times New Roman" w:hAnsi="Times New Roman" w:cs="Times New Roman"/>
          <w:b/>
          <w:i/>
          <w:sz w:val="24"/>
          <w:szCs w:val="24"/>
        </w:rPr>
        <w:t>DATA AND METHODS</w:t>
      </w:r>
    </w:p>
    <w:p w14:paraId="09AF0151" w14:textId="69F00D47" w:rsidR="00D85BA2" w:rsidRPr="00E82EC4" w:rsidRDefault="00D85BA2" w:rsidP="00E82EC4">
      <w:pPr>
        <w:pStyle w:val="ListParagraph"/>
        <w:numPr>
          <w:ilvl w:val="0"/>
          <w:numId w:val="13"/>
        </w:numPr>
        <w:spacing w:after="0" w:line="480" w:lineRule="auto"/>
        <w:ind w:left="1440" w:hanging="720"/>
        <w:rPr>
          <w:rFonts w:ascii="Times New Roman" w:hAnsi="Times New Roman" w:cs="Times New Roman"/>
          <w:i/>
          <w:sz w:val="24"/>
          <w:szCs w:val="24"/>
        </w:rPr>
      </w:pPr>
      <w:r w:rsidRPr="00E82EC4">
        <w:rPr>
          <w:rFonts w:ascii="Times New Roman" w:hAnsi="Times New Roman" w:cs="Times New Roman"/>
          <w:i/>
          <w:sz w:val="24"/>
          <w:szCs w:val="24"/>
        </w:rPr>
        <w:t>Data</w:t>
      </w:r>
    </w:p>
    <w:p w14:paraId="449D115E" w14:textId="68964382" w:rsidR="007678B6" w:rsidRDefault="00B506BE" w:rsidP="00E34AE4">
      <w:pPr>
        <w:spacing w:after="0" w:line="480" w:lineRule="auto"/>
        <w:ind w:firstLine="720"/>
        <w:rPr>
          <w:rFonts w:ascii="Times New Roman" w:hAnsi="Times New Roman" w:cs="Times New Roman"/>
          <w:sz w:val="24"/>
          <w:szCs w:val="24"/>
        </w:rPr>
      </w:pPr>
      <w:r w:rsidRPr="00B506BE">
        <w:rPr>
          <w:rFonts w:ascii="Times New Roman" w:hAnsi="Times New Roman" w:cs="Times New Roman"/>
          <w:sz w:val="24"/>
          <w:szCs w:val="24"/>
        </w:rPr>
        <w:t>Our primary data source for employment</w:t>
      </w:r>
      <w:r w:rsidR="00705792">
        <w:rPr>
          <w:rFonts w:ascii="Times New Roman" w:hAnsi="Times New Roman" w:cs="Times New Roman"/>
          <w:sz w:val="24"/>
          <w:szCs w:val="24"/>
        </w:rPr>
        <w:t>,</w:t>
      </w:r>
      <w:r w:rsidRPr="00B506BE">
        <w:rPr>
          <w:rFonts w:ascii="Times New Roman" w:hAnsi="Times New Roman" w:cs="Times New Roman"/>
          <w:sz w:val="24"/>
          <w:szCs w:val="24"/>
        </w:rPr>
        <w:t xml:space="preserve"> earnings</w:t>
      </w:r>
      <w:r w:rsidR="00705792">
        <w:rPr>
          <w:rFonts w:ascii="Times New Roman" w:hAnsi="Times New Roman" w:cs="Times New Roman"/>
          <w:sz w:val="24"/>
          <w:szCs w:val="24"/>
        </w:rPr>
        <w:t>, income</w:t>
      </w:r>
      <w:r w:rsidR="007D1EB1">
        <w:rPr>
          <w:rFonts w:ascii="Times New Roman" w:hAnsi="Times New Roman" w:cs="Times New Roman"/>
          <w:sz w:val="24"/>
          <w:szCs w:val="24"/>
        </w:rPr>
        <w:t>, and poverty status</w:t>
      </w:r>
      <w:r>
        <w:rPr>
          <w:rFonts w:ascii="Times New Roman" w:hAnsi="Times New Roman" w:cs="Times New Roman"/>
          <w:sz w:val="24"/>
          <w:szCs w:val="24"/>
        </w:rPr>
        <w:t xml:space="preserve"> is the Annual Social and Economic</w:t>
      </w:r>
      <w:r w:rsidR="00DE260D">
        <w:rPr>
          <w:rFonts w:ascii="Times New Roman" w:hAnsi="Times New Roman" w:cs="Times New Roman"/>
          <w:sz w:val="24"/>
          <w:szCs w:val="24"/>
        </w:rPr>
        <w:t xml:space="preserve"> Supplement of the Current Population Survey</w:t>
      </w:r>
      <w:r w:rsidR="002429A5">
        <w:rPr>
          <w:rFonts w:ascii="Times New Roman" w:hAnsi="Times New Roman" w:cs="Times New Roman"/>
          <w:sz w:val="24"/>
          <w:szCs w:val="24"/>
        </w:rPr>
        <w:t xml:space="preserve"> (</w:t>
      </w:r>
      <w:r w:rsidR="008D247A">
        <w:rPr>
          <w:rFonts w:ascii="Times New Roman" w:hAnsi="Times New Roman" w:cs="Times New Roman"/>
          <w:sz w:val="24"/>
          <w:szCs w:val="24"/>
        </w:rPr>
        <w:t xml:space="preserve">March </w:t>
      </w:r>
      <w:r w:rsidR="002429A5">
        <w:rPr>
          <w:rFonts w:ascii="Times New Roman" w:hAnsi="Times New Roman" w:cs="Times New Roman"/>
          <w:sz w:val="24"/>
          <w:szCs w:val="24"/>
        </w:rPr>
        <w:t>CPS)</w:t>
      </w:r>
      <w:r w:rsidR="008D247A">
        <w:rPr>
          <w:rFonts w:ascii="Times New Roman" w:hAnsi="Times New Roman" w:cs="Times New Roman"/>
          <w:sz w:val="24"/>
          <w:szCs w:val="24"/>
        </w:rPr>
        <w:t xml:space="preserve">, </w:t>
      </w:r>
      <w:r w:rsidR="00251ECE">
        <w:rPr>
          <w:rFonts w:ascii="Times New Roman" w:hAnsi="Times New Roman" w:cs="Times New Roman"/>
          <w:sz w:val="24"/>
          <w:szCs w:val="24"/>
        </w:rPr>
        <w:t>as provided by IPUMS (Flood et al. 2019)</w:t>
      </w:r>
      <w:r w:rsidR="001921B9">
        <w:rPr>
          <w:rFonts w:ascii="Times New Roman" w:hAnsi="Times New Roman" w:cs="Times New Roman"/>
          <w:sz w:val="24"/>
          <w:szCs w:val="24"/>
        </w:rPr>
        <w:t>. The</w:t>
      </w:r>
      <w:r w:rsidR="00DE260D">
        <w:rPr>
          <w:rFonts w:ascii="Times New Roman" w:hAnsi="Times New Roman" w:cs="Times New Roman"/>
          <w:sz w:val="24"/>
          <w:szCs w:val="24"/>
        </w:rPr>
        <w:t xml:space="preserve"> March CPS</w:t>
      </w:r>
      <w:r w:rsidR="002429A5">
        <w:rPr>
          <w:rFonts w:ascii="Times New Roman" w:hAnsi="Times New Roman" w:cs="Times New Roman"/>
          <w:sz w:val="24"/>
          <w:szCs w:val="24"/>
        </w:rPr>
        <w:t xml:space="preserve"> </w:t>
      </w:r>
      <w:r w:rsidR="001921B9">
        <w:rPr>
          <w:rFonts w:ascii="Times New Roman" w:hAnsi="Times New Roman" w:cs="Times New Roman"/>
          <w:sz w:val="24"/>
          <w:szCs w:val="24"/>
        </w:rPr>
        <w:t xml:space="preserve">provides detailed information on the composition of annual income for a relatively large, nationally representative sample of households and </w:t>
      </w:r>
      <w:proofErr w:type="gramStart"/>
      <w:r w:rsidR="001921B9">
        <w:rPr>
          <w:rFonts w:ascii="Times New Roman" w:hAnsi="Times New Roman" w:cs="Times New Roman"/>
          <w:sz w:val="24"/>
          <w:szCs w:val="24"/>
        </w:rPr>
        <w:t>is released</w:t>
      </w:r>
      <w:proofErr w:type="gramEnd"/>
      <w:r w:rsidR="001921B9">
        <w:rPr>
          <w:rFonts w:ascii="Times New Roman" w:hAnsi="Times New Roman" w:cs="Times New Roman"/>
          <w:sz w:val="24"/>
          <w:szCs w:val="24"/>
        </w:rPr>
        <w:t xml:space="preserve"> more quickly than other public datasets that contain earnings</w:t>
      </w:r>
      <w:r w:rsidR="00DE260D">
        <w:rPr>
          <w:rFonts w:ascii="Times New Roman" w:hAnsi="Times New Roman" w:cs="Times New Roman"/>
          <w:sz w:val="24"/>
          <w:szCs w:val="24"/>
        </w:rPr>
        <w:t>.</w:t>
      </w:r>
      <w:r w:rsidR="001921B9">
        <w:rPr>
          <w:rStyle w:val="FootnoteReference"/>
          <w:rFonts w:ascii="Times New Roman" w:hAnsi="Times New Roman" w:cs="Times New Roman"/>
          <w:sz w:val="24"/>
          <w:szCs w:val="24"/>
        </w:rPr>
        <w:footnoteReference w:id="4"/>
      </w:r>
      <w:r w:rsidR="00F31248">
        <w:rPr>
          <w:rFonts w:ascii="Times New Roman" w:hAnsi="Times New Roman" w:cs="Times New Roman"/>
          <w:sz w:val="24"/>
          <w:szCs w:val="24"/>
        </w:rPr>
        <w:t xml:space="preserve"> To illustrate changes in earnings and inequality over a longer horizon, we </w:t>
      </w:r>
      <w:r w:rsidR="00705792">
        <w:rPr>
          <w:rFonts w:ascii="Times New Roman" w:hAnsi="Times New Roman" w:cs="Times New Roman"/>
          <w:sz w:val="24"/>
          <w:szCs w:val="24"/>
        </w:rPr>
        <w:t>consider</w:t>
      </w:r>
      <w:r w:rsidR="00F31248">
        <w:rPr>
          <w:rFonts w:ascii="Times New Roman" w:hAnsi="Times New Roman" w:cs="Times New Roman"/>
          <w:sz w:val="24"/>
          <w:szCs w:val="24"/>
        </w:rPr>
        <w:t xml:space="preserve"> </w:t>
      </w:r>
      <w:r w:rsidR="00705792">
        <w:rPr>
          <w:rFonts w:ascii="Times New Roman" w:hAnsi="Times New Roman" w:cs="Times New Roman"/>
          <w:sz w:val="24"/>
          <w:szCs w:val="24"/>
        </w:rPr>
        <w:t xml:space="preserve">both </w:t>
      </w:r>
      <w:r w:rsidR="00F31248">
        <w:rPr>
          <w:rFonts w:ascii="Times New Roman" w:hAnsi="Times New Roman" w:cs="Times New Roman"/>
          <w:sz w:val="24"/>
          <w:szCs w:val="24"/>
        </w:rPr>
        <w:t>the 1980 survey (covering earnings from 1979) and the 2019 survey (covering earnings from 2018).</w:t>
      </w:r>
    </w:p>
    <w:p w14:paraId="5CDC311D" w14:textId="4E3B27FC" w:rsidR="00EF0537" w:rsidRDefault="002D23F1" w:rsidP="00E34AE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We restrict our sample to adult civilians of prime age, 25</w:t>
      </w:r>
      <w:r>
        <w:rPr>
          <w:rFonts w:ascii="Times New Roman" w:hAnsi="Times New Roman" w:cs="Times New Roman"/>
          <w:sz w:val="24"/>
          <w:szCs w:val="24"/>
        </w:rPr>
        <w:sym w:font="Symbol" w:char="F02D"/>
      </w:r>
      <w:r>
        <w:rPr>
          <w:rFonts w:ascii="Times New Roman" w:hAnsi="Times New Roman" w:cs="Times New Roman"/>
          <w:sz w:val="24"/>
          <w:szCs w:val="24"/>
        </w:rPr>
        <w:t xml:space="preserve">54, to minimize concerns </w:t>
      </w:r>
      <w:r w:rsidR="002429A5">
        <w:rPr>
          <w:rFonts w:ascii="Times New Roman" w:hAnsi="Times New Roman" w:cs="Times New Roman"/>
          <w:sz w:val="24"/>
          <w:szCs w:val="24"/>
        </w:rPr>
        <w:t>about</w:t>
      </w:r>
      <w:r>
        <w:rPr>
          <w:rFonts w:ascii="Times New Roman" w:hAnsi="Times New Roman" w:cs="Times New Roman"/>
          <w:sz w:val="24"/>
          <w:szCs w:val="24"/>
        </w:rPr>
        <w:t xml:space="preserve"> schooling and retirement decisions.</w:t>
      </w:r>
      <w:r>
        <w:rPr>
          <w:rStyle w:val="FootnoteReference"/>
          <w:rFonts w:ascii="Times New Roman" w:hAnsi="Times New Roman" w:cs="Times New Roman"/>
          <w:sz w:val="24"/>
          <w:szCs w:val="24"/>
        </w:rPr>
        <w:footnoteReference w:id="5"/>
      </w:r>
      <w:r w:rsidR="001B0A9F">
        <w:rPr>
          <w:rFonts w:ascii="Times New Roman" w:hAnsi="Times New Roman" w:cs="Times New Roman"/>
          <w:sz w:val="24"/>
          <w:szCs w:val="24"/>
        </w:rPr>
        <w:t xml:space="preserve"> </w:t>
      </w:r>
      <w:r w:rsidR="009636D4">
        <w:rPr>
          <w:rFonts w:ascii="Times New Roman" w:hAnsi="Times New Roman" w:cs="Times New Roman"/>
          <w:sz w:val="24"/>
          <w:szCs w:val="24"/>
        </w:rPr>
        <w:t xml:space="preserve">We define four mutually exclusive, exhaustive education categories: less than high school degree, high school graduate, associate degree, </w:t>
      </w:r>
      <w:r w:rsidR="00677E1E">
        <w:rPr>
          <w:rFonts w:ascii="Times New Roman" w:hAnsi="Times New Roman" w:cs="Times New Roman"/>
          <w:sz w:val="24"/>
          <w:szCs w:val="24"/>
        </w:rPr>
        <w:t xml:space="preserve">and </w:t>
      </w:r>
      <w:r w:rsidR="009636D4">
        <w:rPr>
          <w:rFonts w:ascii="Times New Roman" w:hAnsi="Times New Roman" w:cs="Times New Roman"/>
          <w:sz w:val="24"/>
          <w:szCs w:val="24"/>
        </w:rPr>
        <w:t xml:space="preserve">bachelor’s degree or higher. High school degree includes GED holders and those who attended college but did not get a degree. </w:t>
      </w:r>
      <w:r w:rsidR="00705792">
        <w:rPr>
          <w:rFonts w:ascii="Times New Roman" w:hAnsi="Times New Roman" w:cs="Times New Roman"/>
          <w:sz w:val="24"/>
          <w:szCs w:val="24"/>
        </w:rPr>
        <w:t xml:space="preserve">We measure employment as a binary variable that equals one if an individual worked a positive number of weeks in the previous calendar year </w:t>
      </w:r>
      <w:r w:rsidR="00705792">
        <w:rPr>
          <w:rFonts w:ascii="Times New Roman" w:hAnsi="Times New Roman" w:cs="Times New Roman"/>
          <w:i/>
          <w:sz w:val="24"/>
          <w:szCs w:val="24"/>
        </w:rPr>
        <w:t>and</w:t>
      </w:r>
      <w:r w:rsidR="00705792">
        <w:rPr>
          <w:rFonts w:ascii="Times New Roman" w:hAnsi="Times New Roman" w:cs="Times New Roman"/>
          <w:sz w:val="24"/>
          <w:szCs w:val="24"/>
        </w:rPr>
        <w:t xml:space="preserve"> had positive labor earnings</w:t>
      </w:r>
      <w:r w:rsidR="00D85BA2">
        <w:rPr>
          <w:rFonts w:ascii="Times New Roman" w:hAnsi="Times New Roman" w:cs="Times New Roman"/>
          <w:sz w:val="24"/>
          <w:szCs w:val="24"/>
        </w:rPr>
        <w:t>; we define full-time, full-year</w:t>
      </w:r>
      <w:r w:rsidR="00705792">
        <w:rPr>
          <w:rFonts w:ascii="Times New Roman" w:hAnsi="Times New Roman" w:cs="Times New Roman"/>
          <w:sz w:val="24"/>
          <w:szCs w:val="24"/>
        </w:rPr>
        <w:t xml:space="preserve"> </w:t>
      </w:r>
      <w:r w:rsidR="00D85BA2">
        <w:rPr>
          <w:rFonts w:ascii="Times New Roman" w:hAnsi="Times New Roman" w:cs="Times New Roman"/>
          <w:sz w:val="24"/>
          <w:szCs w:val="24"/>
        </w:rPr>
        <w:t xml:space="preserve">workers </w:t>
      </w:r>
      <w:r w:rsidR="00323A82">
        <w:rPr>
          <w:rFonts w:ascii="Times New Roman" w:hAnsi="Times New Roman" w:cs="Times New Roman"/>
          <w:sz w:val="24"/>
          <w:szCs w:val="24"/>
        </w:rPr>
        <w:t xml:space="preserve">(FTFY) </w:t>
      </w:r>
      <w:r w:rsidR="00D85BA2">
        <w:rPr>
          <w:rFonts w:ascii="Times New Roman" w:hAnsi="Times New Roman" w:cs="Times New Roman"/>
          <w:sz w:val="24"/>
          <w:szCs w:val="24"/>
        </w:rPr>
        <w:t xml:space="preserve">as those usually working at least 35 hours per week and at least </w:t>
      </w:r>
      <w:r w:rsidR="00B70CBC">
        <w:rPr>
          <w:rFonts w:ascii="Times New Roman" w:hAnsi="Times New Roman" w:cs="Times New Roman"/>
          <w:sz w:val="24"/>
          <w:szCs w:val="24"/>
        </w:rPr>
        <w:t xml:space="preserve">40 </w:t>
      </w:r>
      <w:r w:rsidR="00D85BA2">
        <w:rPr>
          <w:rFonts w:ascii="Times New Roman" w:hAnsi="Times New Roman" w:cs="Times New Roman"/>
          <w:sz w:val="24"/>
          <w:szCs w:val="24"/>
        </w:rPr>
        <w:t xml:space="preserve">weeks of the year. </w:t>
      </w:r>
      <w:r w:rsidR="00705792">
        <w:rPr>
          <w:rFonts w:ascii="Times New Roman" w:hAnsi="Times New Roman" w:cs="Times New Roman"/>
          <w:sz w:val="24"/>
          <w:szCs w:val="24"/>
        </w:rPr>
        <w:t xml:space="preserve">We define an individual’s annual labor earnings as the sum of wages and salaries and non-negative business income over the same </w:t>
      </w:r>
      <w:proofErr w:type="gramStart"/>
      <w:r w:rsidR="00705792">
        <w:rPr>
          <w:rFonts w:ascii="Times New Roman" w:hAnsi="Times New Roman" w:cs="Times New Roman"/>
          <w:sz w:val="24"/>
          <w:szCs w:val="24"/>
        </w:rPr>
        <w:t>time period</w:t>
      </w:r>
      <w:proofErr w:type="gramEnd"/>
      <w:r w:rsidR="00677E1E">
        <w:rPr>
          <w:rFonts w:ascii="Times New Roman" w:hAnsi="Times New Roman" w:cs="Times New Roman"/>
          <w:sz w:val="24"/>
          <w:szCs w:val="24"/>
        </w:rPr>
        <w:t>.</w:t>
      </w:r>
      <w:r w:rsidR="00222B33">
        <w:rPr>
          <w:rStyle w:val="FootnoteReference"/>
          <w:rFonts w:ascii="Times New Roman" w:hAnsi="Times New Roman" w:cs="Times New Roman"/>
          <w:sz w:val="24"/>
          <w:szCs w:val="24"/>
        </w:rPr>
        <w:footnoteReference w:id="6"/>
      </w:r>
      <w:r w:rsidR="002429A5">
        <w:rPr>
          <w:rFonts w:ascii="Times New Roman" w:hAnsi="Times New Roman" w:cs="Times New Roman"/>
          <w:sz w:val="24"/>
          <w:szCs w:val="24"/>
        </w:rPr>
        <w:t xml:space="preserve"> W</w:t>
      </w:r>
      <w:r w:rsidR="00705792">
        <w:rPr>
          <w:rFonts w:ascii="Times New Roman" w:hAnsi="Times New Roman" w:cs="Times New Roman"/>
          <w:sz w:val="24"/>
          <w:szCs w:val="24"/>
        </w:rPr>
        <w:t>e adjust earnings for inflation to year 2018 dollars using the personal consumption expenditures (PCE) deflator from the Bureau of Economic Analysis.</w:t>
      </w:r>
      <w:r w:rsidR="007D1EB1">
        <w:rPr>
          <w:rFonts w:ascii="Times New Roman" w:hAnsi="Times New Roman" w:cs="Times New Roman"/>
          <w:sz w:val="24"/>
          <w:szCs w:val="24"/>
        </w:rPr>
        <w:t xml:space="preserve"> Because poverty </w:t>
      </w:r>
      <w:r w:rsidR="0022771A">
        <w:rPr>
          <w:rFonts w:ascii="Times New Roman" w:hAnsi="Times New Roman" w:cs="Times New Roman"/>
          <w:sz w:val="24"/>
          <w:szCs w:val="24"/>
        </w:rPr>
        <w:t>status</w:t>
      </w:r>
      <w:r w:rsidR="007D1EB1">
        <w:rPr>
          <w:rFonts w:ascii="Times New Roman" w:hAnsi="Times New Roman" w:cs="Times New Roman"/>
          <w:sz w:val="24"/>
          <w:szCs w:val="24"/>
        </w:rPr>
        <w:t xml:space="preserve"> </w:t>
      </w:r>
      <w:proofErr w:type="gramStart"/>
      <w:r w:rsidR="0022771A">
        <w:rPr>
          <w:rFonts w:ascii="Times New Roman" w:hAnsi="Times New Roman" w:cs="Times New Roman"/>
          <w:sz w:val="24"/>
          <w:szCs w:val="24"/>
        </w:rPr>
        <w:t>is based</w:t>
      </w:r>
      <w:proofErr w:type="gramEnd"/>
      <w:r w:rsidR="0022771A">
        <w:rPr>
          <w:rFonts w:ascii="Times New Roman" w:hAnsi="Times New Roman" w:cs="Times New Roman"/>
          <w:sz w:val="24"/>
          <w:szCs w:val="24"/>
        </w:rPr>
        <w:t xml:space="preserve"> on</w:t>
      </w:r>
      <w:r w:rsidR="007D1EB1">
        <w:rPr>
          <w:rFonts w:ascii="Times New Roman" w:hAnsi="Times New Roman" w:cs="Times New Roman"/>
          <w:sz w:val="24"/>
          <w:szCs w:val="24"/>
        </w:rPr>
        <w:t xml:space="preserve"> family </w:t>
      </w:r>
      <w:r w:rsidR="0022771A">
        <w:rPr>
          <w:rFonts w:ascii="Times New Roman" w:hAnsi="Times New Roman" w:cs="Times New Roman"/>
          <w:sz w:val="24"/>
          <w:szCs w:val="24"/>
        </w:rPr>
        <w:t xml:space="preserve">rather than individual </w:t>
      </w:r>
      <w:r w:rsidR="007D1EB1">
        <w:rPr>
          <w:rFonts w:ascii="Times New Roman" w:hAnsi="Times New Roman" w:cs="Times New Roman"/>
          <w:sz w:val="24"/>
          <w:szCs w:val="24"/>
        </w:rPr>
        <w:t>income</w:t>
      </w:r>
      <w:r w:rsidR="0022771A">
        <w:rPr>
          <w:rFonts w:ascii="Times New Roman" w:hAnsi="Times New Roman" w:cs="Times New Roman"/>
          <w:sz w:val="24"/>
          <w:szCs w:val="24"/>
        </w:rPr>
        <w:t>, we construct an individual’s poverty threshold ratio by dividing that individual’s total family income by the official poverty thresholds for the individual’s family size and type.</w:t>
      </w:r>
      <w:r w:rsidR="0022771A">
        <w:rPr>
          <w:rStyle w:val="FootnoteReference"/>
          <w:rFonts w:ascii="Times New Roman" w:hAnsi="Times New Roman" w:cs="Times New Roman"/>
          <w:sz w:val="24"/>
          <w:szCs w:val="24"/>
        </w:rPr>
        <w:footnoteReference w:id="7"/>
      </w:r>
    </w:p>
    <w:p w14:paraId="3CC75B16" w14:textId="3DE65650" w:rsidR="006527E6" w:rsidRDefault="000D20D2" w:rsidP="00E34AE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Table 1 presents </w:t>
      </w:r>
      <w:r w:rsidRPr="000D20D2">
        <w:rPr>
          <w:rFonts w:ascii="Times New Roman" w:hAnsi="Times New Roman" w:cs="Times New Roman"/>
          <w:sz w:val="24"/>
          <w:szCs w:val="24"/>
        </w:rPr>
        <w:t>summary statistics showing the earnings and income of adults in 1979 and 2018 for different samples. The first row</w:t>
      </w:r>
      <w:r w:rsidR="006B19C5">
        <w:rPr>
          <w:rFonts w:ascii="Times New Roman" w:hAnsi="Times New Roman" w:cs="Times New Roman"/>
          <w:sz w:val="24"/>
          <w:szCs w:val="24"/>
        </w:rPr>
        <w:t xml:space="preserve"> of each panel </w:t>
      </w:r>
      <w:r w:rsidRPr="000D20D2">
        <w:rPr>
          <w:rFonts w:ascii="Times New Roman" w:hAnsi="Times New Roman" w:cs="Times New Roman"/>
          <w:sz w:val="24"/>
          <w:szCs w:val="24"/>
        </w:rPr>
        <w:t>report</w:t>
      </w:r>
      <w:r w:rsidR="006B19C5">
        <w:rPr>
          <w:rFonts w:ascii="Times New Roman" w:hAnsi="Times New Roman" w:cs="Times New Roman"/>
          <w:sz w:val="24"/>
          <w:szCs w:val="24"/>
        </w:rPr>
        <w:t>s</w:t>
      </w:r>
      <w:r w:rsidRPr="000D20D2">
        <w:rPr>
          <w:rFonts w:ascii="Times New Roman" w:hAnsi="Times New Roman" w:cs="Times New Roman"/>
          <w:sz w:val="24"/>
          <w:szCs w:val="24"/>
        </w:rPr>
        <w:t xml:space="preserve"> selected percentiles of the </w:t>
      </w:r>
      <w:r w:rsidR="006B19C5">
        <w:rPr>
          <w:rFonts w:ascii="Times New Roman" w:hAnsi="Times New Roman" w:cs="Times New Roman"/>
          <w:sz w:val="24"/>
          <w:szCs w:val="24"/>
        </w:rPr>
        <w:t xml:space="preserve">real </w:t>
      </w:r>
      <w:r w:rsidRPr="000D20D2">
        <w:rPr>
          <w:rFonts w:ascii="Times New Roman" w:hAnsi="Times New Roman" w:cs="Times New Roman"/>
          <w:sz w:val="24"/>
          <w:szCs w:val="24"/>
        </w:rPr>
        <w:t>earnings distribution</w:t>
      </w:r>
      <w:r w:rsidR="006B19C5">
        <w:rPr>
          <w:rFonts w:ascii="Times New Roman" w:hAnsi="Times New Roman" w:cs="Times New Roman"/>
          <w:sz w:val="24"/>
          <w:szCs w:val="24"/>
        </w:rPr>
        <w:t>s</w:t>
      </w:r>
      <w:r w:rsidRPr="000D20D2">
        <w:rPr>
          <w:rFonts w:ascii="Times New Roman" w:hAnsi="Times New Roman" w:cs="Times New Roman"/>
          <w:sz w:val="24"/>
          <w:szCs w:val="24"/>
        </w:rPr>
        <w:t xml:space="preserve"> for all FTFY workers age 25 to 54 in 1979 and 2018</w:t>
      </w:r>
      <w:r w:rsidR="006B19C5">
        <w:rPr>
          <w:rFonts w:ascii="Times New Roman" w:hAnsi="Times New Roman" w:cs="Times New Roman"/>
          <w:sz w:val="24"/>
          <w:szCs w:val="24"/>
        </w:rPr>
        <w:t>, respectively</w:t>
      </w:r>
      <w:r w:rsidRPr="000D20D2">
        <w:rPr>
          <w:rFonts w:ascii="Times New Roman" w:hAnsi="Times New Roman" w:cs="Times New Roman"/>
          <w:sz w:val="24"/>
          <w:szCs w:val="24"/>
        </w:rPr>
        <w:t xml:space="preserve">. </w:t>
      </w:r>
      <w:r w:rsidR="006B19C5">
        <w:rPr>
          <w:rFonts w:ascii="Times New Roman" w:hAnsi="Times New Roman" w:cs="Times New Roman"/>
          <w:sz w:val="24"/>
          <w:szCs w:val="24"/>
        </w:rPr>
        <w:t xml:space="preserve">Subsequent rows show percentiles of the earnings distribution for men and women separately, </w:t>
      </w:r>
      <w:r w:rsidR="006B19C5">
        <w:rPr>
          <w:rFonts w:ascii="Times New Roman" w:hAnsi="Times New Roman" w:cs="Times New Roman"/>
          <w:sz w:val="24"/>
          <w:szCs w:val="24"/>
        </w:rPr>
        <w:lastRenderedPageBreak/>
        <w:t>and then the pooled and gender-specific earnings distributions for all individuals age 25 to 54, regardless of work status</w:t>
      </w:r>
      <w:r w:rsidRPr="000D20D2">
        <w:rPr>
          <w:rFonts w:ascii="Times New Roman" w:hAnsi="Times New Roman" w:cs="Times New Roman"/>
          <w:sz w:val="24"/>
          <w:szCs w:val="24"/>
        </w:rPr>
        <w:t>.</w:t>
      </w:r>
    </w:p>
    <w:p w14:paraId="612E8590" w14:textId="1A637104" w:rsidR="00B5558A" w:rsidRPr="0034511E" w:rsidRDefault="00B5558A" w:rsidP="00B5558A">
      <w:pPr>
        <w:spacing w:after="0" w:line="480" w:lineRule="auto"/>
        <w:ind w:firstLine="720"/>
        <w:rPr>
          <w:rFonts w:ascii="Times New Roman" w:eastAsia="Times New Roman" w:hAnsi="Times New Roman" w:cs="Times New Roman"/>
          <w:color w:val="000000"/>
          <w:sz w:val="24"/>
          <w:szCs w:val="24"/>
        </w:rPr>
      </w:pPr>
      <w:r w:rsidRPr="0034511E">
        <w:rPr>
          <w:rFonts w:ascii="Times New Roman" w:eastAsia="Times New Roman" w:hAnsi="Times New Roman" w:cs="Times New Roman"/>
          <w:color w:val="000000"/>
          <w:sz w:val="24"/>
          <w:szCs w:val="24"/>
        </w:rPr>
        <w:t>The rise in inequality over this period is evident</w:t>
      </w:r>
      <w:r>
        <w:rPr>
          <w:rFonts w:ascii="Times New Roman" w:eastAsia="Times New Roman" w:hAnsi="Times New Roman" w:cs="Times New Roman"/>
          <w:color w:val="000000"/>
          <w:sz w:val="24"/>
          <w:szCs w:val="24"/>
        </w:rPr>
        <w:t xml:space="preserve"> from these numbers. Among men, unconditional </w:t>
      </w:r>
      <w:r w:rsidRPr="0034511E">
        <w:rPr>
          <w:rFonts w:ascii="Times New Roman" w:eastAsia="Times New Roman" w:hAnsi="Times New Roman" w:cs="Times New Roman"/>
          <w:color w:val="000000"/>
          <w:sz w:val="24"/>
          <w:szCs w:val="24"/>
        </w:rPr>
        <w:t xml:space="preserve">earnings at the </w:t>
      </w:r>
      <w:r>
        <w:rPr>
          <w:rFonts w:ascii="Times New Roman" w:eastAsia="Times New Roman" w:hAnsi="Times New Roman" w:cs="Times New Roman"/>
          <w:color w:val="000000"/>
          <w:sz w:val="24"/>
          <w:szCs w:val="24"/>
        </w:rPr>
        <w:t>10</w:t>
      </w:r>
      <w:r w:rsidRPr="004A44A1">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w:t>
      </w:r>
      <w:r w:rsidRPr="0034511E">
        <w:rPr>
          <w:rFonts w:ascii="Times New Roman" w:eastAsia="Times New Roman" w:hAnsi="Times New Roman" w:cs="Times New Roman"/>
          <w:color w:val="000000"/>
          <w:sz w:val="24"/>
          <w:szCs w:val="24"/>
        </w:rPr>
        <w:t>25</w:t>
      </w:r>
      <w:r w:rsidRPr="0034511E">
        <w:rPr>
          <w:rFonts w:ascii="Times New Roman" w:eastAsia="Times New Roman" w:hAnsi="Times New Roman" w:cs="Times New Roman"/>
          <w:color w:val="000000"/>
          <w:sz w:val="24"/>
          <w:szCs w:val="24"/>
          <w:vertAlign w:val="superscript"/>
        </w:rPr>
        <w:t>th</w:t>
      </w:r>
      <w:r w:rsidR="00E856E6">
        <w:rPr>
          <w:rFonts w:ascii="Times New Roman" w:eastAsia="Times New Roman" w:hAnsi="Times New Roman" w:cs="Times New Roman"/>
          <w:color w:val="000000"/>
          <w:sz w:val="24"/>
          <w:szCs w:val="24"/>
        </w:rPr>
        <w:t xml:space="preserve">, </w:t>
      </w:r>
      <w:r w:rsidRPr="0034511E">
        <w:rPr>
          <w:rFonts w:ascii="Times New Roman" w:eastAsia="Times New Roman" w:hAnsi="Times New Roman" w:cs="Times New Roman"/>
          <w:color w:val="000000"/>
          <w:sz w:val="24"/>
          <w:szCs w:val="24"/>
        </w:rPr>
        <w:t>and 50</w:t>
      </w:r>
      <w:r w:rsidRPr="0034511E">
        <w:rPr>
          <w:rFonts w:ascii="Times New Roman" w:eastAsia="Times New Roman" w:hAnsi="Times New Roman" w:cs="Times New Roman"/>
          <w:color w:val="000000"/>
          <w:sz w:val="24"/>
          <w:szCs w:val="24"/>
          <w:vertAlign w:val="superscript"/>
        </w:rPr>
        <w:t>th</w:t>
      </w:r>
      <w:r w:rsidRPr="0034511E">
        <w:rPr>
          <w:rFonts w:ascii="Times New Roman" w:eastAsia="Times New Roman" w:hAnsi="Times New Roman" w:cs="Times New Roman"/>
          <w:color w:val="000000"/>
          <w:sz w:val="24"/>
          <w:szCs w:val="24"/>
        </w:rPr>
        <w:t xml:space="preserve"> percentiles</w:t>
      </w:r>
      <w:r>
        <w:rPr>
          <w:rFonts w:ascii="Times New Roman" w:eastAsia="Times New Roman" w:hAnsi="Times New Roman" w:cs="Times New Roman"/>
          <w:color w:val="000000"/>
          <w:sz w:val="24"/>
          <w:szCs w:val="24"/>
        </w:rPr>
        <w:t xml:space="preserve"> fell between 1979 and 2018</w:t>
      </w:r>
      <w:r w:rsidR="000A65D9">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color w:val="000000"/>
          <w:sz w:val="24"/>
          <w:szCs w:val="24"/>
        </w:rPr>
        <w:t xml:space="preserve">FTFY earnings </w:t>
      </w:r>
      <w:r w:rsidR="000A65D9">
        <w:rPr>
          <w:rFonts w:ascii="Times New Roman" w:eastAsia="Times New Roman" w:hAnsi="Times New Roman" w:cs="Times New Roman"/>
          <w:color w:val="000000"/>
          <w:sz w:val="24"/>
          <w:szCs w:val="24"/>
        </w:rPr>
        <w:t xml:space="preserve">at these percentiles </w:t>
      </w:r>
      <w:r>
        <w:rPr>
          <w:rFonts w:ascii="Times New Roman" w:eastAsia="Times New Roman" w:hAnsi="Times New Roman" w:cs="Times New Roman"/>
          <w:color w:val="000000"/>
          <w:sz w:val="24"/>
          <w:szCs w:val="24"/>
        </w:rPr>
        <w:t xml:space="preserve">were generally stagnant or increased only </w:t>
      </w:r>
      <w:r w:rsidR="000A65D9">
        <w:rPr>
          <w:rFonts w:ascii="Times New Roman" w:eastAsia="Times New Roman" w:hAnsi="Times New Roman" w:cs="Times New Roman"/>
          <w:color w:val="000000"/>
          <w:sz w:val="24"/>
          <w:szCs w:val="24"/>
        </w:rPr>
        <w:t>slightly.</w:t>
      </w:r>
      <w:r>
        <w:rPr>
          <w:rFonts w:ascii="Times New Roman" w:eastAsia="Times New Roman" w:hAnsi="Times New Roman" w:cs="Times New Roman"/>
          <w:color w:val="000000"/>
          <w:sz w:val="24"/>
          <w:szCs w:val="24"/>
        </w:rPr>
        <w:t xml:space="preserve"> </w:t>
      </w:r>
      <w:r w:rsidR="000A65D9">
        <w:rPr>
          <w:rFonts w:ascii="Times New Roman" w:eastAsia="Times New Roman" w:hAnsi="Times New Roman" w:cs="Times New Roman"/>
          <w:color w:val="000000"/>
          <w:sz w:val="24"/>
          <w:szCs w:val="24"/>
        </w:rPr>
        <w:t xml:space="preserve">At the </w:t>
      </w:r>
      <w:r w:rsidRPr="0034511E">
        <w:rPr>
          <w:rFonts w:ascii="Times New Roman" w:eastAsia="Times New Roman" w:hAnsi="Times New Roman" w:cs="Times New Roman"/>
          <w:color w:val="000000"/>
          <w:sz w:val="24"/>
          <w:szCs w:val="24"/>
        </w:rPr>
        <w:t>75</w:t>
      </w:r>
      <w:r w:rsidRPr="0034511E">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w:t>
      </w:r>
      <w:r w:rsidRPr="0034511E">
        <w:rPr>
          <w:rFonts w:ascii="Times New Roman" w:eastAsia="Times New Roman" w:hAnsi="Times New Roman" w:cs="Times New Roman"/>
          <w:color w:val="000000"/>
          <w:sz w:val="24"/>
          <w:szCs w:val="24"/>
        </w:rPr>
        <w:t>90</w:t>
      </w:r>
      <w:r w:rsidRPr="0034511E">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and 99</w:t>
      </w:r>
      <w:r w:rsidRPr="004A44A1">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w:t>
      </w:r>
      <w:r w:rsidRPr="0034511E">
        <w:rPr>
          <w:rFonts w:ascii="Times New Roman" w:eastAsia="Times New Roman" w:hAnsi="Times New Roman" w:cs="Times New Roman"/>
          <w:color w:val="000000"/>
          <w:sz w:val="24"/>
          <w:szCs w:val="24"/>
        </w:rPr>
        <w:t>percentiles</w:t>
      </w:r>
      <w:r w:rsidR="000A65D9">
        <w:rPr>
          <w:rFonts w:ascii="Times New Roman" w:eastAsia="Times New Roman" w:hAnsi="Times New Roman" w:cs="Times New Roman"/>
          <w:color w:val="000000"/>
          <w:sz w:val="24"/>
          <w:szCs w:val="24"/>
        </w:rPr>
        <w:t>, however,</w:t>
      </w:r>
      <w:r>
        <w:rPr>
          <w:rFonts w:ascii="Times New Roman" w:eastAsia="Times New Roman" w:hAnsi="Times New Roman" w:cs="Times New Roman"/>
          <w:color w:val="000000"/>
          <w:sz w:val="24"/>
          <w:szCs w:val="24"/>
        </w:rPr>
        <w:t xml:space="preserve"> </w:t>
      </w:r>
      <w:r w:rsidR="00D93BD5">
        <w:rPr>
          <w:rFonts w:ascii="Times New Roman" w:eastAsia="Times New Roman" w:hAnsi="Times New Roman" w:cs="Times New Roman"/>
          <w:color w:val="000000"/>
          <w:sz w:val="24"/>
          <w:szCs w:val="24"/>
        </w:rPr>
        <w:t xml:space="preserve">earnings </w:t>
      </w:r>
      <w:r>
        <w:rPr>
          <w:rFonts w:ascii="Times New Roman" w:eastAsia="Times New Roman" w:hAnsi="Times New Roman" w:cs="Times New Roman"/>
          <w:color w:val="000000"/>
          <w:sz w:val="24"/>
          <w:szCs w:val="24"/>
        </w:rPr>
        <w:t xml:space="preserve">rose substantially, both unconditionally and </w:t>
      </w:r>
      <w:r w:rsidR="00D93BD5">
        <w:rPr>
          <w:rFonts w:ascii="Times New Roman" w:eastAsia="Times New Roman" w:hAnsi="Times New Roman" w:cs="Times New Roman"/>
          <w:color w:val="000000"/>
          <w:sz w:val="24"/>
          <w:szCs w:val="24"/>
        </w:rPr>
        <w:t>for FTFY men</w:t>
      </w:r>
      <w:r>
        <w:rPr>
          <w:rFonts w:ascii="Times New Roman" w:eastAsia="Times New Roman" w:hAnsi="Times New Roman" w:cs="Times New Roman"/>
          <w:color w:val="000000"/>
          <w:sz w:val="24"/>
          <w:szCs w:val="24"/>
        </w:rPr>
        <w:t xml:space="preserve">. Among women, both unconditional and FTFY earnings increased at all highlighted percentiles, but the gains were much larger at the higher end of the distribution. </w:t>
      </w:r>
      <w:r w:rsidR="00DE1C97">
        <w:rPr>
          <w:rFonts w:ascii="Times New Roman" w:eastAsia="Times New Roman" w:hAnsi="Times New Roman" w:cs="Times New Roman"/>
          <w:color w:val="000000"/>
          <w:sz w:val="24"/>
          <w:szCs w:val="24"/>
        </w:rPr>
        <w:t xml:space="preserve">Notably, </w:t>
      </w:r>
      <w:r w:rsidRPr="0034511E">
        <w:rPr>
          <w:rFonts w:ascii="Times New Roman" w:eastAsia="Times New Roman" w:hAnsi="Times New Roman" w:cs="Times New Roman"/>
          <w:color w:val="000000"/>
          <w:sz w:val="24"/>
          <w:szCs w:val="24"/>
        </w:rPr>
        <w:t xml:space="preserve">earnings </w:t>
      </w:r>
      <w:r>
        <w:rPr>
          <w:rFonts w:ascii="Times New Roman" w:eastAsia="Times New Roman" w:hAnsi="Times New Roman" w:cs="Times New Roman"/>
          <w:color w:val="000000"/>
          <w:sz w:val="24"/>
          <w:szCs w:val="24"/>
        </w:rPr>
        <w:t xml:space="preserve">are zero </w:t>
      </w:r>
      <w:r w:rsidRPr="0034511E">
        <w:rPr>
          <w:rFonts w:ascii="Times New Roman" w:eastAsia="Times New Roman" w:hAnsi="Times New Roman" w:cs="Times New Roman"/>
          <w:color w:val="000000"/>
          <w:sz w:val="24"/>
          <w:szCs w:val="24"/>
        </w:rPr>
        <w:t xml:space="preserve">at </w:t>
      </w:r>
      <w:r>
        <w:rPr>
          <w:rFonts w:ascii="Times New Roman" w:eastAsia="Times New Roman" w:hAnsi="Times New Roman" w:cs="Times New Roman"/>
          <w:color w:val="000000"/>
          <w:sz w:val="24"/>
          <w:szCs w:val="24"/>
        </w:rPr>
        <w:t xml:space="preserve">both </w:t>
      </w:r>
      <w:r w:rsidRPr="0034511E">
        <w:rPr>
          <w:rFonts w:ascii="Times New Roman" w:eastAsia="Times New Roman" w:hAnsi="Times New Roman" w:cs="Times New Roman"/>
          <w:color w:val="000000"/>
          <w:sz w:val="24"/>
          <w:szCs w:val="24"/>
        </w:rPr>
        <w:t>the 10</w:t>
      </w:r>
      <w:r w:rsidRPr="0034511E">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and 25</w:t>
      </w:r>
      <w:r w:rsidRPr="004A44A1">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percentile</w:t>
      </w:r>
      <w:r w:rsidR="00DE1C97">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of the unconditional sample </w:t>
      </w:r>
      <w:r w:rsidR="00DE1C97">
        <w:rPr>
          <w:rFonts w:ascii="Times New Roman" w:eastAsia="Times New Roman" w:hAnsi="Times New Roman" w:cs="Times New Roman"/>
          <w:color w:val="000000"/>
          <w:sz w:val="24"/>
          <w:szCs w:val="24"/>
        </w:rPr>
        <w:t xml:space="preserve">for women </w:t>
      </w:r>
      <w:r>
        <w:rPr>
          <w:rFonts w:ascii="Times New Roman" w:eastAsia="Times New Roman" w:hAnsi="Times New Roman" w:cs="Times New Roman"/>
          <w:color w:val="000000"/>
          <w:sz w:val="24"/>
          <w:szCs w:val="24"/>
        </w:rPr>
        <w:t>in both 1979 and 2018</w:t>
      </w:r>
      <w:r w:rsidR="00DE1C97">
        <w:rPr>
          <w:rFonts w:ascii="Times New Roman" w:eastAsia="Times New Roman" w:hAnsi="Times New Roman" w:cs="Times New Roman"/>
          <w:color w:val="000000"/>
          <w:sz w:val="24"/>
          <w:szCs w:val="24"/>
        </w:rPr>
        <w:t>, and although t</w:t>
      </w:r>
      <w:r>
        <w:rPr>
          <w:rFonts w:ascii="Times New Roman" w:eastAsia="Times New Roman" w:hAnsi="Times New Roman" w:cs="Times New Roman"/>
          <w:color w:val="000000"/>
          <w:sz w:val="24"/>
          <w:szCs w:val="24"/>
        </w:rPr>
        <w:t>he 10</w:t>
      </w:r>
      <w:r w:rsidRPr="0034511E">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percentile of the unconditional earnings distribution is </w:t>
      </w:r>
      <w:r w:rsidR="00DE1C97">
        <w:rPr>
          <w:rFonts w:ascii="Times New Roman" w:eastAsia="Times New Roman" w:hAnsi="Times New Roman" w:cs="Times New Roman"/>
          <w:color w:val="000000"/>
          <w:sz w:val="24"/>
          <w:szCs w:val="24"/>
        </w:rPr>
        <w:t>positive for men in 1979, it is zero</w:t>
      </w:r>
      <w:r>
        <w:rPr>
          <w:rFonts w:ascii="Times New Roman" w:eastAsia="Times New Roman" w:hAnsi="Times New Roman" w:cs="Times New Roman"/>
          <w:color w:val="000000"/>
          <w:sz w:val="24"/>
          <w:szCs w:val="24"/>
        </w:rPr>
        <w:t xml:space="preserve"> in 2018. This</w:t>
      </w:r>
      <w:r w:rsidRPr="0034511E">
        <w:rPr>
          <w:rFonts w:ascii="Times New Roman" w:eastAsia="Times New Roman" w:hAnsi="Times New Roman" w:cs="Times New Roman"/>
          <w:color w:val="000000"/>
          <w:sz w:val="24"/>
          <w:szCs w:val="24"/>
        </w:rPr>
        <w:t xml:space="preserve"> sharp decline at the bottom reflects a lower likelihood of </w:t>
      </w:r>
      <w:r w:rsidR="00DE1C97">
        <w:rPr>
          <w:rFonts w:ascii="Times New Roman" w:eastAsia="Times New Roman" w:hAnsi="Times New Roman" w:cs="Times New Roman"/>
          <w:color w:val="000000"/>
          <w:sz w:val="24"/>
          <w:szCs w:val="24"/>
        </w:rPr>
        <w:t xml:space="preserve">prime-age </w:t>
      </w:r>
      <w:r w:rsidRPr="0034511E">
        <w:rPr>
          <w:rFonts w:ascii="Times New Roman" w:eastAsia="Times New Roman" w:hAnsi="Times New Roman" w:cs="Times New Roman"/>
          <w:color w:val="000000"/>
          <w:sz w:val="24"/>
          <w:szCs w:val="24"/>
        </w:rPr>
        <w:t xml:space="preserve">men </w:t>
      </w:r>
      <w:proofErr w:type="gramStart"/>
      <w:r w:rsidRPr="0034511E">
        <w:rPr>
          <w:rFonts w:ascii="Times New Roman" w:eastAsia="Times New Roman" w:hAnsi="Times New Roman" w:cs="Times New Roman"/>
          <w:color w:val="000000"/>
          <w:sz w:val="24"/>
          <w:szCs w:val="24"/>
        </w:rPr>
        <w:t>having been employed</w:t>
      </w:r>
      <w:proofErr w:type="gramEnd"/>
      <w:r w:rsidRPr="0034511E">
        <w:rPr>
          <w:rFonts w:ascii="Times New Roman" w:eastAsia="Times New Roman" w:hAnsi="Times New Roman" w:cs="Times New Roman"/>
          <w:color w:val="000000"/>
          <w:sz w:val="24"/>
          <w:szCs w:val="24"/>
        </w:rPr>
        <w:t xml:space="preserve"> at any point during the year; this likelihood fell from 92 to 85</w:t>
      </w:r>
      <w:r w:rsidR="00DE1C97">
        <w:rPr>
          <w:rFonts w:ascii="Times New Roman" w:eastAsia="Times New Roman" w:hAnsi="Times New Roman" w:cs="Times New Roman"/>
          <w:color w:val="000000"/>
          <w:sz w:val="24"/>
          <w:szCs w:val="24"/>
        </w:rPr>
        <w:t xml:space="preserve"> percent, with the</w:t>
      </w:r>
      <w:r w:rsidRPr="0034511E">
        <w:rPr>
          <w:rFonts w:ascii="Times New Roman" w:eastAsia="Times New Roman" w:hAnsi="Times New Roman" w:cs="Times New Roman"/>
          <w:color w:val="000000"/>
          <w:sz w:val="24"/>
          <w:szCs w:val="24"/>
        </w:rPr>
        <w:t xml:space="preserve"> decline almost entirely concentrated among men without a college degree.</w:t>
      </w:r>
      <w:r w:rsidR="003A547C">
        <w:rPr>
          <w:rStyle w:val="FootnoteReference"/>
          <w:rFonts w:ascii="Times New Roman" w:eastAsia="Times New Roman" w:hAnsi="Times New Roman" w:cs="Times New Roman"/>
          <w:color w:val="000000"/>
          <w:sz w:val="24"/>
          <w:szCs w:val="24"/>
        </w:rPr>
        <w:footnoteReference w:id="8"/>
      </w:r>
      <w:r w:rsidR="00426DF4">
        <w:rPr>
          <w:rFonts w:ascii="Times New Roman" w:eastAsia="Times New Roman" w:hAnsi="Times New Roman" w:cs="Times New Roman"/>
          <w:color w:val="000000"/>
          <w:sz w:val="24"/>
          <w:szCs w:val="24"/>
        </w:rPr>
        <w:t xml:space="preserve"> </w:t>
      </w:r>
    </w:p>
    <w:p w14:paraId="438BB1BD" w14:textId="5F180D5F" w:rsidR="00B5558A" w:rsidRDefault="00B5558A" w:rsidP="00B5558A">
      <w:pPr>
        <w:spacing w:after="0" w:line="480" w:lineRule="auto"/>
        <w:ind w:firstLine="720"/>
        <w:rPr>
          <w:rFonts w:ascii="Times New Roman" w:hAnsi="Times New Roman" w:cs="Times New Roman"/>
          <w:sz w:val="24"/>
          <w:szCs w:val="24"/>
        </w:rPr>
      </w:pPr>
      <w:r w:rsidRPr="0034511E">
        <w:rPr>
          <w:rFonts w:ascii="Times New Roman" w:hAnsi="Times New Roman" w:cs="Times New Roman"/>
          <w:sz w:val="24"/>
          <w:szCs w:val="24"/>
        </w:rPr>
        <w:t xml:space="preserve">Appendix </w:t>
      </w:r>
      <w:r w:rsidR="003A547C">
        <w:rPr>
          <w:rFonts w:ascii="Times New Roman" w:hAnsi="Times New Roman" w:cs="Times New Roman"/>
          <w:sz w:val="24"/>
          <w:szCs w:val="24"/>
        </w:rPr>
        <w:t xml:space="preserve">Table </w:t>
      </w:r>
      <w:r w:rsidR="00426DF4">
        <w:rPr>
          <w:rFonts w:ascii="Times New Roman" w:hAnsi="Times New Roman" w:cs="Times New Roman"/>
          <w:sz w:val="24"/>
          <w:szCs w:val="24"/>
        </w:rPr>
        <w:t>A.</w:t>
      </w:r>
      <w:r w:rsidR="003A547C">
        <w:rPr>
          <w:rFonts w:ascii="Times New Roman" w:hAnsi="Times New Roman" w:cs="Times New Roman"/>
          <w:sz w:val="24"/>
          <w:szCs w:val="24"/>
        </w:rPr>
        <w:t xml:space="preserve">1 </w:t>
      </w:r>
      <w:r w:rsidR="00426DF4">
        <w:rPr>
          <w:rFonts w:ascii="Times New Roman" w:hAnsi="Times New Roman" w:cs="Times New Roman"/>
          <w:sz w:val="24"/>
          <w:szCs w:val="24"/>
        </w:rPr>
        <w:t xml:space="preserve">and Appendix Figure </w:t>
      </w:r>
      <w:r w:rsidR="00537BF0">
        <w:rPr>
          <w:rFonts w:ascii="Times New Roman" w:hAnsi="Times New Roman" w:cs="Times New Roman"/>
          <w:sz w:val="24"/>
          <w:szCs w:val="24"/>
        </w:rPr>
        <w:t>2</w:t>
      </w:r>
      <w:r w:rsidR="00426DF4">
        <w:rPr>
          <w:rFonts w:ascii="Times New Roman" w:hAnsi="Times New Roman" w:cs="Times New Roman"/>
          <w:sz w:val="24"/>
          <w:szCs w:val="24"/>
        </w:rPr>
        <w:t xml:space="preserve"> show </w:t>
      </w:r>
      <w:r w:rsidR="003A547C">
        <w:rPr>
          <w:rFonts w:ascii="Times New Roman" w:hAnsi="Times New Roman" w:cs="Times New Roman"/>
          <w:sz w:val="24"/>
          <w:szCs w:val="24"/>
        </w:rPr>
        <w:t>the</w:t>
      </w:r>
      <w:r w:rsidRPr="0034511E">
        <w:rPr>
          <w:rFonts w:ascii="Times New Roman" w:hAnsi="Times New Roman" w:cs="Times New Roman"/>
          <w:sz w:val="24"/>
          <w:szCs w:val="24"/>
        </w:rPr>
        <w:t xml:space="preserve"> earnings distributions of FTFY workers in 1979 and 2018 </w:t>
      </w:r>
      <w:r w:rsidR="00426DF4">
        <w:rPr>
          <w:rFonts w:ascii="Times New Roman" w:hAnsi="Times New Roman" w:cs="Times New Roman"/>
          <w:sz w:val="24"/>
          <w:szCs w:val="24"/>
        </w:rPr>
        <w:t>by level of education</w:t>
      </w:r>
      <w:r w:rsidRPr="0034511E">
        <w:rPr>
          <w:rFonts w:ascii="Times New Roman" w:hAnsi="Times New Roman" w:cs="Times New Roman"/>
          <w:sz w:val="24"/>
          <w:szCs w:val="24"/>
        </w:rPr>
        <w:t xml:space="preserve">. The </w:t>
      </w:r>
      <w:r w:rsidR="00775B9C">
        <w:rPr>
          <w:rFonts w:ascii="Times New Roman" w:hAnsi="Times New Roman" w:cs="Times New Roman"/>
          <w:sz w:val="24"/>
          <w:szCs w:val="24"/>
        </w:rPr>
        <w:t xml:space="preserve">table and </w:t>
      </w:r>
      <w:r w:rsidRPr="0034511E">
        <w:rPr>
          <w:rFonts w:ascii="Times New Roman" w:hAnsi="Times New Roman" w:cs="Times New Roman"/>
          <w:sz w:val="24"/>
          <w:szCs w:val="24"/>
        </w:rPr>
        <w:t xml:space="preserve">figure show </w:t>
      </w:r>
      <w:proofErr w:type="gramStart"/>
      <w:r w:rsidRPr="0034511E">
        <w:rPr>
          <w:rFonts w:ascii="Times New Roman" w:hAnsi="Times New Roman" w:cs="Times New Roman"/>
          <w:sz w:val="24"/>
          <w:szCs w:val="24"/>
        </w:rPr>
        <w:t>clearly</w:t>
      </w:r>
      <w:proofErr w:type="gramEnd"/>
      <w:r w:rsidRPr="0034511E">
        <w:rPr>
          <w:rFonts w:ascii="Times New Roman" w:hAnsi="Times New Roman" w:cs="Times New Roman"/>
          <w:sz w:val="24"/>
          <w:szCs w:val="24"/>
        </w:rPr>
        <w:t xml:space="preserve"> how earnings gaps have increased between education groups. For example, in 1979, median earnings among high school </w:t>
      </w:r>
      <w:r w:rsidR="00775B9C">
        <w:rPr>
          <w:rFonts w:ascii="Times New Roman" w:hAnsi="Times New Roman" w:cs="Times New Roman"/>
          <w:sz w:val="24"/>
          <w:szCs w:val="24"/>
        </w:rPr>
        <w:t>graduate</w:t>
      </w:r>
      <w:r w:rsidRPr="0034511E">
        <w:rPr>
          <w:rFonts w:ascii="Times New Roman" w:hAnsi="Times New Roman" w:cs="Times New Roman"/>
          <w:sz w:val="24"/>
          <w:szCs w:val="24"/>
        </w:rPr>
        <w:t xml:space="preserve"> FTFY workers w</w:t>
      </w:r>
      <w:r w:rsidR="009007FC">
        <w:rPr>
          <w:rFonts w:ascii="Times New Roman" w:hAnsi="Times New Roman" w:cs="Times New Roman"/>
          <w:sz w:val="24"/>
          <w:szCs w:val="24"/>
        </w:rPr>
        <w:t>ere</w:t>
      </w:r>
      <w:r w:rsidRPr="0034511E">
        <w:rPr>
          <w:rFonts w:ascii="Times New Roman" w:hAnsi="Times New Roman" w:cs="Times New Roman"/>
          <w:sz w:val="24"/>
          <w:szCs w:val="24"/>
        </w:rPr>
        <w:t xml:space="preserve"> </w:t>
      </w:r>
      <w:r w:rsidR="00775B9C">
        <w:rPr>
          <w:rFonts w:ascii="Times New Roman" w:hAnsi="Times New Roman" w:cs="Times New Roman"/>
          <w:sz w:val="24"/>
          <w:szCs w:val="24"/>
        </w:rPr>
        <w:t xml:space="preserve">approximately </w:t>
      </w:r>
      <w:r w:rsidRPr="0034511E">
        <w:rPr>
          <w:rFonts w:ascii="Times New Roman" w:hAnsi="Times New Roman" w:cs="Times New Roman"/>
          <w:sz w:val="24"/>
          <w:szCs w:val="24"/>
        </w:rPr>
        <w:t>$38,3</w:t>
      </w:r>
      <w:r w:rsidR="00775B9C">
        <w:rPr>
          <w:rFonts w:ascii="Times New Roman" w:hAnsi="Times New Roman" w:cs="Times New Roman"/>
          <w:sz w:val="24"/>
          <w:szCs w:val="24"/>
        </w:rPr>
        <w:t>00</w:t>
      </w:r>
      <w:r w:rsidRPr="0034511E">
        <w:rPr>
          <w:rFonts w:ascii="Times New Roman" w:hAnsi="Times New Roman" w:cs="Times New Roman"/>
          <w:sz w:val="24"/>
          <w:szCs w:val="24"/>
        </w:rPr>
        <w:t xml:space="preserve"> (in 2018 dollars), as compared to </w:t>
      </w:r>
      <w:r w:rsidR="00775B9C">
        <w:rPr>
          <w:rFonts w:ascii="Times New Roman" w:hAnsi="Times New Roman" w:cs="Times New Roman"/>
          <w:sz w:val="24"/>
          <w:szCs w:val="24"/>
        </w:rPr>
        <w:t xml:space="preserve">about </w:t>
      </w:r>
      <w:r w:rsidRPr="0034511E">
        <w:rPr>
          <w:rFonts w:ascii="Times New Roman" w:hAnsi="Times New Roman" w:cs="Times New Roman"/>
          <w:sz w:val="24"/>
          <w:szCs w:val="24"/>
        </w:rPr>
        <w:t>$53,4</w:t>
      </w:r>
      <w:r w:rsidR="00775B9C">
        <w:rPr>
          <w:rFonts w:ascii="Times New Roman" w:hAnsi="Times New Roman" w:cs="Times New Roman"/>
          <w:sz w:val="24"/>
          <w:szCs w:val="24"/>
        </w:rPr>
        <w:t>00</w:t>
      </w:r>
      <w:r w:rsidRPr="0034511E">
        <w:rPr>
          <w:rFonts w:ascii="Times New Roman" w:hAnsi="Times New Roman" w:cs="Times New Roman"/>
          <w:sz w:val="24"/>
          <w:szCs w:val="24"/>
        </w:rPr>
        <w:t xml:space="preserve"> among FTFY workers with a </w:t>
      </w:r>
      <w:r w:rsidR="009007FC">
        <w:rPr>
          <w:rFonts w:ascii="Times New Roman" w:hAnsi="Times New Roman" w:cs="Times New Roman"/>
          <w:sz w:val="24"/>
          <w:szCs w:val="24"/>
        </w:rPr>
        <w:t>bachelor’s degree (</w:t>
      </w:r>
      <w:r w:rsidRPr="0034511E">
        <w:rPr>
          <w:rFonts w:ascii="Times New Roman" w:hAnsi="Times New Roman" w:cs="Times New Roman"/>
          <w:sz w:val="24"/>
          <w:szCs w:val="24"/>
        </w:rPr>
        <w:t>BA</w:t>
      </w:r>
      <w:r w:rsidR="009007FC">
        <w:rPr>
          <w:rFonts w:ascii="Times New Roman" w:hAnsi="Times New Roman" w:cs="Times New Roman"/>
          <w:sz w:val="24"/>
          <w:szCs w:val="24"/>
        </w:rPr>
        <w:t>)</w:t>
      </w:r>
      <w:r w:rsidRPr="0034511E">
        <w:rPr>
          <w:rFonts w:ascii="Times New Roman" w:hAnsi="Times New Roman" w:cs="Times New Roman"/>
          <w:sz w:val="24"/>
          <w:szCs w:val="24"/>
        </w:rPr>
        <w:t xml:space="preserve"> or higher. In 2018, the comparable numbers were $40,000 and $70,000. The gap between the 90</w:t>
      </w:r>
      <w:r w:rsidRPr="0034511E">
        <w:rPr>
          <w:rFonts w:ascii="Times New Roman" w:hAnsi="Times New Roman" w:cs="Times New Roman"/>
          <w:sz w:val="24"/>
          <w:szCs w:val="24"/>
          <w:vertAlign w:val="superscript"/>
        </w:rPr>
        <w:t>th</w:t>
      </w:r>
      <w:r w:rsidRPr="0034511E">
        <w:rPr>
          <w:rFonts w:ascii="Times New Roman" w:hAnsi="Times New Roman" w:cs="Times New Roman"/>
          <w:sz w:val="24"/>
          <w:szCs w:val="24"/>
        </w:rPr>
        <w:t xml:space="preserve"> percentile of earnings among high school graduates and BA holders </w:t>
      </w:r>
      <w:r w:rsidR="00775B9C">
        <w:rPr>
          <w:rFonts w:ascii="Times New Roman" w:hAnsi="Times New Roman" w:cs="Times New Roman"/>
          <w:sz w:val="24"/>
          <w:szCs w:val="24"/>
        </w:rPr>
        <w:t xml:space="preserve">grew </w:t>
      </w:r>
      <w:r w:rsidRPr="0034511E">
        <w:rPr>
          <w:rFonts w:ascii="Times New Roman" w:hAnsi="Times New Roman" w:cs="Times New Roman"/>
          <w:sz w:val="24"/>
          <w:szCs w:val="24"/>
        </w:rPr>
        <w:t>by an even greater amount. In 1979, the 90</w:t>
      </w:r>
      <w:r w:rsidRPr="0034511E">
        <w:rPr>
          <w:rFonts w:ascii="Times New Roman" w:hAnsi="Times New Roman" w:cs="Times New Roman"/>
          <w:sz w:val="24"/>
          <w:szCs w:val="24"/>
          <w:vertAlign w:val="superscript"/>
        </w:rPr>
        <w:t>th</w:t>
      </w:r>
      <w:r w:rsidRPr="0034511E">
        <w:rPr>
          <w:rFonts w:ascii="Times New Roman" w:hAnsi="Times New Roman" w:cs="Times New Roman"/>
          <w:sz w:val="24"/>
          <w:szCs w:val="24"/>
        </w:rPr>
        <w:t xml:space="preserve"> percentile of earnings among high school FTFY workers was </w:t>
      </w:r>
      <w:r w:rsidR="00775B9C">
        <w:rPr>
          <w:rFonts w:ascii="Times New Roman" w:hAnsi="Times New Roman" w:cs="Times New Roman"/>
          <w:sz w:val="24"/>
          <w:szCs w:val="24"/>
        </w:rPr>
        <w:t xml:space="preserve">roughly </w:t>
      </w:r>
      <w:r w:rsidRPr="0034511E">
        <w:rPr>
          <w:rFonts w:ascii="Times New Roman" w:hAnsi="Times New Roman" w:cs="Times New Roman"/>
          <w:sz w:val="24"/>
          <w:szCs w:val="24"/>
        </w:rPr>
        <w:t>$72,</w:t>
      </w:r>
      <w:r w:rsidR="00775B9C">
        <w:rPr>
          <w:rFonts w:ascii="Times New Roman" w:hAnsi="Times New Roman" w:cs="Times New Roman"/>
          <w:sz w:val="24"/>
          <w:szCs w:val="24"/>
        </w:rPr>
        <w:t>600</w:t>
      </w:r>
      <w:r w:rsidRPr="0034511E">
        <w:rPr>
          <w:rFonts w:ascii="Times New Roman" w:hAnsi="Times New Roman" w:cs="Times New Roman"/>
          <w:sz w:val="24"/>
          <w:szCs w:val="24"/>
        </w:rPr>
        <w:t xml:space="preserve">, as compared to </w:t>
      </w:r>
      <w:r w:rsidRPr="0034511E">
        <w:rPr>
          <w:rFonts w:ascii="Times New Roman" w:hAnsi="Times New Roman" w:cs="Times New Roman"/>
          <w:sz w:val="24"/>
          <w:szCs w:val="24"/>
        </w:rPr>
        <w:lastRenderedPageBreak/>
        <w:t>$113,2</w:t>
      </w:r>
      <w:r w:rsidR="00775B9C">
        <w:rPr>
          <w:rFonts w:ascii="Times New Roman" w:hAnsi="Times New Roman" w:cs="Times New Roman"/>
          <w:sz w:val="24"/>
          <w:szCs w:val="24"/>
        </w:rPr>
        <w:t>00</w:t>
      </w:r>
      <w:r w:rsidRPr="0034511E">
        <w:rPr>
          <w:rFonts w:ascii="Times New Roman" w:hAnsi="Times New Roman" w:cs="Times New Roman"/>
          <w:sz w:val="24"/>
          <w:szCs w:val="24"/>
        </w:rPr>
        <w:t xml:space="preserve"> among BA holders, </w:t>
      </w:r>
      <w:r w:rsidR="00775B9C">
        <w:rPr>
          <w:rFonts w:ascii="Times New Roman" w:hAnsi="Times New Roman" w:cs="Times New Roman"/>
          <w:sz w:val="24"/>
          <w:szCs w:val="24"/>
        </w:rPr>
        <w:t>but t</w:t>
      </w:r>
      <w:r w:rsidRPr="0034511E">
        <w:rPr>
          <w:rFonts w:ascii="Times New Roman" w:hAnsi="Times New Roman" w:cs="Times New Roman"/>
          <w:sz w:val="24"/>
          <w:szCs w:val="24"/>
        </w:rPr>
        <w:t>he comparable numbers in 2018 were $80,000 and $155,000</w:t>
      </w:r>
      <w:r w:rsidR="00775B9C">
        <w:rPr>
          <w:rFonts w:ascii="Times New Roman" w:hAnsi="Times New Roman" w:cs="Times New Roman"/>
          <w:sz w:val="24"/>
          <w:szCs w:val="24"/>
        </w:rPr>
        <w:t>, a near doubling</w:t>
      </w:r>
      <w:r w:rsidRPr="0034511E">
        <w:rPr>
          <w:rFonts w:ascii="Times New Roman" w:hAnsi="Times New Roman" w:cs="Times New Roman"/>
          <w:sz w:val="24"/>
          <w:szCs w:val="24"/>
        </w:rPr>
        <w:t>.</w:t>
      </w:r>
    </w:p>
    <w:p w14:paraId="44301EDF" w14:textId="720858AB" w:rsidR="00ED2045" w:rsidRDefault="00ED2045" w:rsidP="00B5558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These increases in wage inequality across education and time have occurred simultaneously with increases in educational attainment—although</w:t>
      </w:r>
      <w:r w:rsidR="00831F73">
        <w:rPr>
          <w:rFonts w:ascii="Times New Roman" w:hAnsi="Times New Roman" w:cs="Times New Roman"/>
          <w:sz w:val="24"/>
          <w:szCs w:val="24"/>
        </w:rPr>
        <w:t>, as Goldin and Katz (2008) have argued</w:t>
      </w:r>
      <w:r w:rsidR="008D2055">
        <w:rPr>
          <w:rFonts w:ascii="Times New Roman" w:hAnsi="Times New Roman" w:cs="Times New Roman"/>
          <w:sz w:val="24"/>
          <w:szCs w:val="24"/>
        </w:rPr>
        <w:t xml:space="preserve">, at a slower rate than previously. The first panel of Table 2 shows the shares of the FTFY prime-age workforce (group A), FTFY male prime-age workforce (group B), </w:t>
      </w:r>
      <w:r w:rsidR="00CE4130">
        <w:rPr>
          <w:rFonts w:ascii="Times New Roman" w:hAnsi="Times New Roman" w:cs="Times New Roman"/>
          <w:sz w:val="24"/>
          <w:szCs w:val="24"/>
        </w:rPr>
        <w:t xml:space="preserve">FTFY female prime-age workforce (group C), </w:t>
      </w:r>
      <w:r w:rsidR="008D2055">
        <w:rPr>
          <w:rFonts w:ascii="Times New Roman" w:hAnsi="Times New Roman" w:cs="Times New Roman"/>
          <w:sz w:val="24"/>
          <w:szCs w:val="24"/>
        </w:rPr>
        <w:t xml:space="preserve">and all prime-age men (group </w:t>
      </w:r>
      <w:r w:rsidR="00CE4130">
        <w:rPr>
          <w:rFonts w:ascii="Times New Roman" w:hAnsi="Times New Roman" w:cs="Times New Roman"/>
          <w:sz w:val="24"/>
          <w:szCs w:val="24"/>
        </w:rPr>
        <w:t>D</w:t>
      </w:r>
      <w:r w:rsidR="008D2055">
        <w:rPr>
          <w:rFonts w:ascii="Times New Roman" w:hAnsi="Times New Roman" w:cs="Times New Roman"/>
          <w:sz w:val="24"/>
          <w:szCs w:val="24"/>
        </w:rPr>
        <w:t xml:space="preserve">) with different levels of education. Among the FTFY workforce, the share with at least a bachelor’s degree has risen from about one-quarter in 1979 to 45 percent by 2018, with a much more modest increase in the associate degree share from about 9 to 11 percent. </w:t>
      </w:r>
      <w:proofErr w:type="gramStart"/>
      <w:r w:rsidR="008D2055">
        <w:rPr>
          <w:rFonts w:ascii="Times New Roman" w:hAnsi="Times New Roman" w:cs="Times New Roman"/>
          <w:sz w:val="24"/>
          <w:szCs w:val="24"/>
        </w:rPr>
        <w:t xml:space="preserve">Because of the </w:t>
      </w:r>
      <w:r w:rsidR="0044465E">
        <w:rPr>
          <w:rFonts w:ascii="Times New Roman" w:hAnsi="Times New Roman" w:cs="Times New Roman"/>
          <w:sz w:val="24"/>
          <w:szCs w:val="24"/>
        </w:rPr>
        <w:t>faster growth in educational attainment for women</w:t>
      </w:r>
      <w:r w:rsidR="008D2055">
        <w:rPr>
          <w:rFonts w:ascii="Times New Roman" w:hAnsi="Times New Roman" w:cs="Times New Roman"/>
          <w:sz w:val="24"/>
          <w:szCs w:val="24"/>
        </w:rPr>
        <w:t xml:space="preserve"> </w:t>
      </w:r>
      <w:r w:rsidR="0044465E">
        <w:rPr>
          <w:rFonts w:ascii="Times New Roman" w:hAnsi="Times New Roman" w:cs="Times New Roman"/>
          <w:sz w:val="24"/>
          <w:szCs w:val="24"/>
        </w:rPr>
        <w:t>relative to men,</w:t>
      </w:r>
      <w:proofErr w:type="gramEnd"/>
      <w:r w:rsidR="0044465E">
        <w:rPr>
          <w:rFonts w:ascii="Times New Roman" w:hAnsi="Times New Roman" w:cs="Times New Roman"/>
          <w:sz w:val="24"/>
          <w:szCs w:val="24"/>
        </w:rPr>
        <w:t xml:space="preserve"> the educational increases for men specifically are smaller, with BA-plus shares rising from 26 to 41 percent for FTFY men and from 25 to 36 percent for all prime-age men, unconditional on work status.</w:t>
      </w:r>
      <w:r w:rsidR="008D2055">
        <w:rPr>
          <w:rFonts w:ascii="Times New Roman" w:hAnsi="Times New Roman" w:cs="Times New Roman"/>
          <w:sz w:val="24"/>
          <w:szCs w:val="24"/>
        </w:rPr>
        <w:t xml:space="preserve"> </w:t>
      </w:r>
      <w:proofErr w:type="gramStart"/>
      <w:r w:rsidR="008D2055">
        <w:rPr>
          <w:rFonts w:ascii="Times New Roman" w:hAnsi="Times New Roman" w:cs="Times New Roman"/>
          <w:sz w:val="24"/>
          <w:szCs w:val="24"/>
        </w:rPr>
        <w:t>Given the observed changes in earnings by education for different groups,</w:t>
      </w:r>
      <w:proofErr w:type="gramEnd"/>
      <w:r w:rsidR="008D2055">
        <w:rPr>
          <w:rFonts w:ascii="Times New Roman" w:hAnsi="Times New Roman" w:cs="Times New Roman"/>
          <w:sz w:val="24"/>
          <w:szCs w:val="24"/>
        </w:rPr>
        <w:t xml:space="preserve"> our simulation exercise asks how earnings distributions would change were the education shares for these groups to be shifted.</w:t>
      </w:r>
    </w:p>
    <w:p w14:paraId="3AE405A4" w14:textId="76E006B8" w:rsidR="006527E6" w:rsidRPr="00D04476" w:rsidRDefault="006527E6" w:rsidP="006527E6">
      <w:pPr>
        <w:pStyle w:val="ListParagraph"/>
        <w:numPr>
          <w:ilvl w:val="0"/>
          <w:numId w:val="13"/>
        </w:numPr>
        <w:spacing w:after="0" w:line="480" w:lineRule="auto"/>
        <w:ind w:left="1440" w:hanging="720"/>
        <w:rPr>
          <w:rFonts w:ascii="Times New Roman" w:hAnsi="Times New Roman" w:cs="Times New Roman"/>
          <w:i/>
          <w:sz w:val="24"/>
          <w:szCs w:val="24"/>
        </w:rPr>
      </w:pPr>
      <w:r>
        <w:rPr>
          <w:rFonts w:ascii="Times New Roman" w:hAnsi="Times New Roman" w:cs="Times New Roman"/>
          <w:i/>
          <w:sz w:val="24"/>
          <w:szCs w:val="24"/>
        </w:rPr>
        <w:t>Methods</w:t>
      </w:r>
    </w:p>
    <w:p w14:paraId="56641C0E" w14:textId="31977D3F" w:rsidR="00FF1819" w:rsidRDefault="009636D4" w:rsidP="00E34AE4">
      <w:pPr>
        <w:spacing w:after="0" w:line="480" w:lineRule="auto"/>
        <w:ind w:firstLine="720"/>
        <w:rPr>
          <w:rFonts w:ascii="Times New Roman" w:hAnsi="Times New Roman" w:cs="Times New Roman"/>
          <w:sz w:val="24"/>
          <w:szCs w:val="24"/>
        </w:rPr>
      </w:pPr>
      <w:r w:rsidRPr="009636D4">
        <w:rPr>
          <w:rFonts w:ascii="Times New Roman" w:hAnsi="Times New Roman" w:cs="Times New Roman"/>
          <w:sz w:val="24"/>
          <w:szCs w:val="24"/>
        </w:rPr>
        <w:t>We simulate three counterfactual scenari</w:t>
      </w:r>
      <w:r w:rsidR="001E3FBE">
        <w:rPr>
          <w:rFonts w:ascii="Times New Roman" w:hAnsi="Times New Roman" w:cs="Times New Roman"/>
          <w:sz w:val="24"/>
          <w:szCs w:val="24"/>
        </w:rPr>
        <w:t>o</w:t>
      </w:r>
      <w:r w:rsidRPr="009636D4">
        <w:rPr>
          <w:rFonts w:ascii="Times New Roman" w:hAnsi="Times New Roman" w:cs="Times New Roman"/>
          <w:sz w:val="24"/>
          <w:szCs w:val="24"/>
        </w:rPr>
        <w:t xml:space="preserve">s. Simulation 1 raises the share </w:t>
      </w:r>
      <w:r w:rsidR="00C51319">
        <w:rPr>
          <w:rFonts w:ascii="Times New Roman" w:hAnsi="Times New Roman" w:cs="Times New Roman"/>
          <w:sz w:val="24"/>
          <w:szCs w:val="24"/>
        </w:rPr>
        <w:t xml:space="preserve">of </w:t>
      </w:r>
      <w:r w:rsidR="002C349F">
        <w:rPr>
          <w:rFonts w:ascii="Times New Roman" w:hAnsi="Times New Roman" w:cs="Times New Roman"/>
          <w:sz w:val="24"/>
          <w:szCs w:val="24"/>
        </w:rPr>
        <w:t>the</w:t>
      </w:r>
      <w:r w:rsidR="00C51319">
        <w:rPr>
          <w:rFonts w:ascii="Times New Roman" w:hAnsi="Times New Roman" w:cs="Times New Roman"/>
          <w:sz w:val="24"/>
          <w:szCs w:val="24"/>
        </w:rPr>
        <w:t xml:space="preserve"> sample</w:t>
      </w:r>
      <w:r w:rsidR="002C349F">
        <w:rPr>
          <w:rFonts w:ascii="Times New Roman" w:hAnsi="Times New Roman" w:cs="Times New Roman"/>
          <w:sz w:val="24"/>
          <w:szCs w:val="24"/>
        </w:rPr>
        <w:t>—across the different samples described above—</w:t>
      </w:r>
      <w:r w:rsidR="00C51319">
        <w:rPr>
          <w:rFonts w:ascii="Times New Roman" w:hAnsi="Times New Roman" w:cs="Times New Roman"/>
          <w:sz w:val="24"/>
          <w:szCs w:val="24"/>
        </w:rPr>
        <w:t>with</w:t>
      </w:r>
      <w:r w:rsidR="002C349F">
        <w:rPr>
          <w:rFonts w:ascii="Times New Roman" w:hAnsi="Times New Roman" w:cs="Times New Roman"/>
          <w:sz w:val="24"/>
          <w:szCs w:val="24"/>
        </w:rPr>
        <w:t xml:space="preserve"> </w:t>
      </w:r>
      <w:r w:rsidR="00C51319">
        <w:rPr>
          <w:rFonts w:ascii="Times New Roman" w:hAnsi="Times New Roman" w:cs="Times New Roman"/>
          <w:sz w:val="24"/>
          <w:szCs w:val="24"/>
        </w:rPr>
        <w:t xml:space="preserve">at least a bachelor’s degree (BA share) </w:t>
      </w:r>
      <w:r w:rsidRPr="009636D4">
        <w:rPr>
          <w:rFonts w:ascii="Times New Roman" w:hAnsi="Times New Roman" w:cs="Times New Roman"/>
          <w:sz w:val="24"/>
          <w:szCs w:val="24"/>
        </w:rPr>
        <w:t xml:space="preserve">to 50 percent. Simulation 2 raises the share </w:t>
      </w:r>
      <w:r w:rsidR="00C51319">
        <w:rPr>
          <w:rFonts w:ascii="Times New Roman" w:hAnsi="Times New Roman" w:cs="Times New Roman"/>
          <w:sz w:val="24"/>
          <w:szCs w:val="24"/>
        </w:rPr>
        <w:t xml:space="preserve">of </w:t>
      </w:r>
      <w:r w:rsidR="002C349F">
        <w:rPr>
          <w:rFonts w:ascii="Times New Roman" w:hAnsi="Times New Roman" w:cs="Times New Roman"/>
          <w:sz w:val="24"/>
          <w:szCs w:val="24"/>
        </w:rPr>
        <w:t>the</w:t>
      </w:r>
      <w:r w:rsidR="00C51319">
        <w:rPr>
          <w:rFonts w:ascii="Times New Roman" w:hAnsi="Times New Roman" w:cs="Times New Roman"/>
          <w:sz w:val="24"/>
          <w:szCs w:val="24"/>
        </w:rPr>
        <w:t xml:space="preserve"> sample with an associate degree (AA share) </w:t>
      </w:r>
      <w:r w:rsidRPr="009636D4">
        <w:rPr>
          <w:rFonts w:ascii="Times New Roman" w:hAnsi="Times New Roman" w:cs="Times New Roman"/>
          <w:sz w:val="24"/>
          <w:szCs w:val="24"/>
        </w:rPr>
        <w:t>to 15</w:t>
      </w:r>
      <w:r w:rsidR="00C51319">
        <w:rPr>
          <w:rFonts w:ascii="Times New Roman" w:hAnsi="Times New Roman" w:cs="Times New Roman"/>
          <w:sz w:val="24"/>
          <w:szCs w:val="24"/>
        </w:rPr>
        <w:t xml:space="preserve"> percent</w:t>
      </w:r>
      <w:r w:rsidRPr="009636D4">
        <w:rPr>
          <w:rFonts w:ascii="Times New Roman" w:hAnsi="Times New Roman" w:cs="Times New Roman"/>
          <w:sz w:val="24"/>
          <w:szCs w:val="24"/>
        </w:rPr>
        <w:t xml:space="preserve"> </w:t>
      </w:r>
      <w:r w:rsidRPr="005F1DFF">
        <w:rPr>
          <w:rFonts w:ascii="Times New Roman" w:hAnsi="Times New Roman" w:cs="Times New Roman"/>
          <w:i/>
          <w:sz w:val="24"/>
          <w:szCs w:val="24"/>
        </w:rPr>
        <w:t>and</w:t>
      </w:r>
      <w:r w:rsidRPr="009636D4">
        <w:rPr>
          <w:rFonts w:ascii="Times New Roman" w:hAnsi="Times New Roman" w:cs="Times New Roman"/>
          <w:sz w:val="24"/>
          <w:szCs w:val="24"/>
        </w:rPr>
        <w:t xml:space="preserve"> the BA share to 50</w:t>
      </w:r>
      <w:r w:rsidR="00C51319">
        <w:rPr>
          <w:rFonts w:ascii="Times New Roman" w:hAnsi="Times New Roman" w:cs="Times New Roman"/>
          <w:sz w:val="24"/>
          <w:szCs w:val="24"/>
        </w:rPr>
        <w:t xml:space="preserve"> percent</w:t>
      </w:r>
      <w:r w:rsidRPr="009636D4">
        <w:rPr>
          <w:rFonts w:ascii="Times New Roman" w:hAnsi="Times New Roman" w:cs="Times New Roman"/>
          <w:sz w:val="24"/>
          <w:szCs w:val="24"/>
        </w:rPr>
        <w:t>. Simulation 3 raises the AA share to 20</w:t>
      </w:r>
      <w:r w:rsidR="00C51319">
        <w:rPr>
          <w:rFonts w:ascii="Times New Roman" w:hAnsi="Times New Roman" w:cs="Times New Roman"/>
          <w:sz w:val="24"/>
          <w:szCs w:val="24"/>
        </w:rPr>
        <w:t xml:space="preserve"> percent</w:t>
      </w:r>
      <w:r w:rsidRPr="009636D4">
        <w:rPr>
          <w:rFonts w:ascii="Times New Roman" w:hAnsi="Times New Roman" w:cs="Times New Roman"/>
          <w:sz w:val="24"/>
          <w:szCs w:val="24"/>
        </w:rPr>
        <w:t xml:space="preserve"> and the BA share to 60</w:t>
      </w:r>
      <w:r w:rsidR="00C51319">
        <w:rPr>
          <w:rFonts w:ascii="Times New Roman" w:hAnsi="Times New Roman" w:cs="Times New Roman"/>
          <w:sz w:val="24"/>
          <w:szCs w:val="24"/>
        </w:rPr>
        <w:t xml:space="preserve"> percent</w:t>
      </w:r>
      <w:r w:rsidRPr="009636D4">
        <w:rPr>
          <w:rFonts w:ascii="Times New Roman" w:hAnsi="Times New Roman" w:cs="Times New Roman"/>
          <w:sz w:val="24"/>
          <w:szCs w:val="24"/>
        </w:rPr>
        <w:t xml:space="preserve">. </w:t>
      </w:r>
      <w:r>
        <w:rPr>
          <w:rFonts w:ascii="Times New Roman" w:hAnsi="Times New Roman" w:cs="Times New Roman"/>
          <w:sz w:val="24"/>
          <w:szCs w:val="24"/>
        </w:rPr>
        <w:t xml:space="preserve">Both new AA holders and new BA holders </w:t>
      </w:r>
      <w:proofErr w:type="gramStart"/>
      <w:r>
        <w:rPr>
          <w:rFonts w:ascii="Times New Roman" w:hAnsi="Times New Roman" w:cs="Times New Roman"/>
          <w:sz w:val="24"/>
          <w:szCs w:val="24"/>
        </w:rPr>
        <w:t>are drawn</w:t>
      </w:r>
      <w:proofErr w:type="gramEnd"/>
      <w:r>
        <w:rPr>
          <w:rFonts w:ascii="Times New Roman" w:hAnsi="Times New Roman" w:cs="Times New Roman"/>
          <w:sz w:val="24"/>
          <w:szCs w:val="24"/>
        </w:rPr>
        <w:t xml:space="preserve"> from the existing high school graduate population. F</w:t>
      </w:r>
      <w:r w:rsidR="004D1962" w:rsidRPr="009636D4">
        <w:rPr>
          <w:rFonts w:ascii="Times New Roman" w:hAnsi="Times New Roman" w:cs="Times New Roman"/>
          <w:sz w:val="24"/>
          <w:szCs w:val="24"/>
        </w:rPr>
        <w:t xml:space="preserve">or each scenario, </w:t>
      </w:r>
      <w:r>
        <w:rPr>
          <w:rFonts w:ascii="Times New Roman" w:hAnsi="Times New Roman" w:cs="Times New Roman"/>
          <w:sz w:val="24"/>
          <w:szCs w:val="24"/>
        </w:rPr>
        <w:t xml:space="preserve">we </w:t>
      </w:r>
      <w:r w:rsidR="004D1962" w:rsidRPr="009636D4">
        <w:rPr>
          <w:rFonts w:ascii="Times New Roman" w:hAnsi="Times New Roman" w:cs="Times New Roman"/>
          <w:sz w:val="24"/>
          <w:szCs w:val="24"/>
        </w:rPr>
        <w:t>assign</w:t>
      </w:r>
      <w:r>
        <w:rPr>
          <w:rFonts w:ascii="Times New Roman" w:hAnsi="Times New Roman" w:cs="Times New Roman"/>
          <w:sz w:val="24"/>
          <w:szCs w:val="24"/>
        </w:rPr>
        <w:t xml:space="preserve"> the “new” AA and BA holders simulated earnings in</w:t>
      </w:r>
      <w:r w:rsidR="004D1962" w:rsidRPr="009636D4">
        <w:rPr>
          <w:rFonts w:ascii="Times New Roman" w:hAnsi="Times New Roman" w:cs="Times New Roman"/>
          <w:sz w:val="24"/>
          <w:szCs w:val="24"/>
        </w:rPr>
        <w:t xml:space="preserve"> </w:t>
      </w:r>
      <w:r>
        <w:rPr>
          <w:rFonts w:ascii="Times New Roman" w:hAnsi="Times New Roman" w:cs="Times New Roman"/>
          <w:sz w:val="24"/>
          <w:szCs w:val="24"/>
        </w:rPr>
        <w:t xml:space="preserve">two ways. The </w:t>
      </w:r>
      <w:r w:rsidRPr="009636D4">
        <w:rPr>
          <w:rFonts w:ascii="Times New Roman" w:hAnsi="Times New Roman" w:cs="Times New Roman"/>
          <w:i/>
          <w:sz w:val="24"/>
          <w:szCs w:val="24"/>
        </w:rPr>
        <w:t xml:space="preserve">distribution method </w:t>
      </w:r>
      <w:r>
        <w:rPr>
          <w:rFonts w:ascii="Times New Roman" w:hAnsi="Times New Roman" w:cs="Times New Roman"/>
          <w:sz w:val="24"/>
          <w:szCs w:val="24"/>
        </w:rPr>
        <w:t xml:space="preserve">assigns a </w:t>
      </w:r>
      <w:r w:rsidR="004D1962" w:rsidRPr="009636D4">
        <w:rPr>
          <w:rFonts w:ascii="Times New Roman" w:hAnsi="Times New Roman" w:cs="Times New Roman"/>
          <w:sz w:val="24"/>
          <w:szCs w:val="24"/>
        </w:rPr>
        <w:t xml:space="preserve">random draw from </w:t>
      </w:r>
      <w:r>
        <w:rPr>
          <w:rFonts w:ascii="Times New Roman" w:hAnsi="Times New Roman" w:cs="Times New Roman"/>
          <w:sz w:val="24"/>
          <w:szCs w:val="24"/>
        </w:rPr>
        <w:t xml:space="preserve">the </w:t>
      </w:r>
      <w:r w:rsidR="004D1962" w:rsidRPr="009636D4">
        <w:rPr>
          <w:rFonts w:ascii="Times New Roman" w:hAnsi="Times New Roman" w:cs="Times New Roman"/>
          <w:sz w:val="24"/>
          <w:szCs w:val="24"/>
        </w:rPr>
        <w:lastRenderedPageBreak/>
        <w:t xml:space="preserve">distribution of </w:t>
      </w:r>
      <w:r>
        <w:rPr>
          <w:rFonts w:ascii="Times New Roman" w:hAnsi="Times New Roman" w:cs="Times New Roman"/>
          <w:sz w:val="24"/>
          <w:szCs w:val="24"/>
        </w:rPr>
        <w:t>existing AA or BA</w:t>
      </w:r>
      <w:r w:rsidR="005F1DFF">
        <w:rPr>
          <w:rFonts w:ascii="Times New Roman" w:hAnsi="Times New Roman" w:cs="Times New Roman"/>
          <w:sz w:val="24"/>
          <w:szCs w:val="24"/>
        </w:rPr>
        <w:t xml:space="preserve"> (including those with higher than a BA)</w:t>
      </w:r>
      <w:r>
        <w:rPr>
          <w:rFonts w:ascii="Times New Roman" w:hAnsi="Times New Roman" w:cs="Times New Roman"/>
          <w:sz w:val="24"/>
          <w:szCs w:val="24"/>
        </w:rPr>
        <w:t xml:space="preserve">, conditioning on one of </w:t>
      </w:r>
      <w:r w:rsidR="00E34190">
        <w:rPr>
          <w:rFonts w:ascii="Times New Roman" w:hAnsi="Times New Roman" w:cs="Times New Roman"/>
          <w:sz w:val="24"/>
          <w:szCs w:val="24"/>
        </w:rPr>
        <w:t xml:space="preserve">12 </w:t>
      </w:r>
      <w:r>
        <w:rPr>
          <w:rFonts w:ascii="Times New Roman" w:hAnsi="Times New Roman" w:cs="Times New Roman"/>
          <w:sz w:val="24"/>
          <w:szCs w:val="24"/>
        </w:rPr>
        <w:t>cells: 10-year age category (25</w:t>
      </w:r>
      <w:r w:rsidR="002C349F">
        <w:rPr>
          <w:rFonts w:ascii="Times New Roman" w:hAnsi="Times New Roman" w:cs="Times New Roman"/>
          <w:sz w:val="24"/>
          <w:szCs w:val="24"/>
        </w:rPr>
        <w:sym w:font="Symbol" w:char="F02D"/>
      </w:r>
      <w:r>
        <w:rPr>
          <w:rFonts w:ascii="Times New Roman" w:hAnsi="Times New Roman" w:cs="Times New Roman"/>
          <w:sz w:val="24"/>
          <w:szCs w:val="24"/>
        </w:rPr>
        <w:t>34, 35</w:t>
      </w:r>
      <w:r w:rsidR="002C349F">
        <w:rPr>
          <w:rFonts w:ascii="Times New Roman" w:hAnsi="Times New Roman" w:cs="Times New Roman"/>
          <w:sz w:val="24"/>
          <w:szCs w:val="24"/>
        </w:rPr>
        <w:sym w:font="Symbol" w:char="F02D"/>
      </w:r>
      <w:r>
        <w:rPr>
          <w:rFonts w:ascii="Times New Roman" w:hAnsi="Times New Roman" w:cs="Times New Roman"/>
          <w:sz w:val="24"/>
          <w:szCs w:val="24"/>
        </w:rPr>
        <w:t>44, 45</w:t>
      </w:r>
      <w:r w:rsidR="002C349F">
        <w:rPr>
          <w:rFonts w:ascii="Times New Roman" w:hAnsi="Times New Roman" w:cs="Times New Roman"/>
          <w:sz w:val="24"/>
          <w:szCs w:val="24"/>
        </w:rPr>
        <w:sym w:font="Symbol" w:char="F02D"/>
      </w:r>
      <w:r>
        <w:rPr>
          <w:rFonts w:ascii="Times New Roman" w:hAnsi="Times New Roman" w:cs="Times New Roman"/>
          <w:sz w:val="24"/>
          <w:szCs w:val="24"/>
        </w:rPr>
        <w:t xml:space="preserve">54), race (white and other), and sex (male and female). </w:t>
      </w:r>
      <w:r w:rsidR="00BD7541">
        <w:rPr>
          <w:rFonts w:ascii="Times New Roman" w:hAnsi="Times New Roman" w:cs="Times New Roman"/>
          <w:sz w:val="24"/>
          <w:szCs w:val="24"/>
        </w:rPr>
        <w:t xml:space="preserve">The </w:t>
      </w:r>
      <w:r w:rsidR="00BD7541" w:rsidRPr="009636D4">
        <w:rPr>
          <w:rFonts w:ascii="Times New Roman" w:hAnsi="Times New Roman" w:cs="Times New Roman"/>
          <w:i/>
          <w:sz w:val="24"/>
          <w:szCs w:val="24"/>
        </w:rPr>
        <w:t>causal parameter</w:t>
      </w:r>
      <w:r w:rsidR="00BD7541">
        <w:rPr>
          <w:rFonts w:ascii="Times New Roman" w:hAnsi="Times New Roman" w:cs="Times New Roman"/>
          <w:sz w:val="24"/>
          <w:szCs w:val="24"/>
        </w:rPr>
        <w:t xml:space="preserve"> method assigns a</w:t>
      </w:r>
      <w:r w:rsidR="00BD7541" w:rsidRPr="009636D4">
        <w:rPr>
          <w:rFonts w:ascii="Times New Roman" w:hAnsi="Times New Roman" w:cs="Times New Roman"/>
          <w:sz w:val="24"/>
          <w:szCs w:val="24"/>
        </w:rPr>
        <w:t xml:space="preserve"> causal estimate of </w:t>
      </w:r>
      <w:r w:rsidR="00BD7541">
        <w:rPr>
          <w:rFonts w:ascii="Times New Roman" w:hAnsi="Times New Roman" w:cs="Times New Roman"/>
          <w:sz w:val="24"/>
          <w:szCs w:val="24"/>
        </w:rPr>
        <w:t xml:space="preserve">the </w:t>
      </w:r>
      <w:r w:rsidR="00BD7541" w:rsidRPr="009636D4">
        <w:rPr>
          <w:rFonts w:ascii="Times New Roman" w:hAnsi="Times New Roman" w:cs="Times New Roman"/>
          <w:sz w:val="24"/>
          <w:szCs w:val="24"/>
        </w:rPr>
        <w:t xml:space="preserve">marginal </w:t>
      </w:r>
      <w:r w:rsidR="00BD7541">
        <w:rPr>
          <w:rFonts w:ascii="Times New Roman" w:hAnsi="Times New Roman" w:cs="Times New Roman"/>
          <w:sz w:val="24"/>
          <w:szCs w:val="24"/>
        </w:rPr>
        <w:t xml:space="preserve">AA or BA </w:t>
      </w:r>
      <w:r w:rsidR="00BD7541" w:rsidRPr="009636D4">
        <w:rPr>
          <w:rFonts w:ascii="Times New Roman" w:hAnsi="Times New Roman" w:cs="Times New Roman"/>
          <w:sz w:val="24"/>
          <w:szCs w:val="24"/>
        </w:rPr>
        <w:t xml:space="preserve">returns </w:t>
      </w:r>
      <w:r w:rsidR="00BD7541">
        <w:rPr>
          <w:rFonts w:ascii="Times New Roman" w:hAnsi="Times New Roman" w:cs="Times New Roman"/>
          <w:sz w:val="24"/>
          <w:szCs w:val="24"/>
        </w:rPr>
        <w:t xml:space="preserve">using parameters </w:t>
      </w:r>
      <w:r w:rsidR="00BD7541" w:rsidRPr="009636D4">
        <w:rPr>
          <w:rFonts w:ascii="Times New Roman" w:hAnsi="Times New Roman" w:cs="Times New Roman"/>
          <w:sz w:val="24"/>
          <w:szCs w:val="24"/>
        </w:rPr>
        <w:t xml:space="preserve">from </w:t>
      </w:r>
      <w:r w:rsidR="00BD7541">
        <w:rPr>
          <w:rFonts w:ascii="Times New Roman" w:hAnsi="Times New Roman" w:cs="Times New Roman"/>
          <w:sz w:val="24"/>
          <w:szCs w:val="24"/>
        </w:rPr>
        <w:t>the existing literature, as described below.</w:t>
      </w:r>
      <w:r w:rsidR="00BD7541">
        <w:rPr>
          <w:rStyle w:val="FootnoteReference"/>
          <w:rFonts w:ascii="Times New Roman" w:hAnsi="Times New Roman" w:cs="Times New Roman"/>
          <w:sz w:val="24"/>
          <w:szCs w:val="24"/>
        </w:rPr>
        <w:footnoteReference w:id="9"/>
      </w:r>
      <w:r w:rsidR="00BD7541">
        <w:rPr>
          <w:rFonts w:ascii="Times New Roman" w:hAnsi="Times New Roman" w:cs="Times New Roman"/>
          <w:sz w:val="24"/>
          <w:szCs w:val="24"/>
        </w:rPr>
        <w:t xml:space="preserve"> </w:t>
      </w:r>
      <w:r>
        <w:rPr>
          <w:rFonts w:ascii="Times New Roman" w:hAnsi="Times New Roman" w:cs="Times New Roman"/>
          <w:sz w:val="24"/>
          <w:szCs w:val="24"/>
        </w:rPr>
        <w:t xml:space="preserve">One benefit of the distribution method is that it allows an individual who is currently out of the workforce to </w:t>
      </w:r>
      <w:proofErr w:type="gramStart"/>
      <w:r>
        <w:rPr>
          <w:rFonts w:ascii="Times New Roman" w:hAnsi="Times New Roman" w:cs="Times New Roman"/>
          <w:sz w:val="24"/>
          <w:szCs w:val="24"/>
        </w:rPr>
        <w:t>be assigned</w:t>
      </w:r>
      <w:proofErr w:type="gramEnd"/>
      <w:r>
        <w:rPr>
          <w:rFonts w:ascii="Times New Roman" w:hAnsi="Times New Roman" w:cs="Times New Roman"/>
          <w:sz w:val="24"/>
          <w:szCs w:val="24"/>
        </w:rPr>
        <w:t xml:space="preserve"> positive earnings if they are simulated to earn a college degree. The causal parameter method does not allow for employment </w:t>
      </w:r>
      <w:r w:rsidR="003F778E">
        <w:rPr>
          <w:rFonts w:ascii="Times New Roman" w:hAnsi="Times New Roman" w:cs="Times New Roman"/>
          <w:sz w:val="24"/>
          <w:szCs w:val="24"/>
        </w:rPr>
        <w:t xml:space="preserve">responses at the extensive </w:t>
      </w:r>
      <w:r>
        <w:rPr>
          <w:rFonts w:ascii="Times New Roman" w:hAnsi="Times New Roman" w:cs="Times New Roman"/>
          <w:sz w:val="24"/>
          <w:szCs w:val="24"/>
        </w:rPr>
        <w:t xml:space="preserve">margin. </w:t>
      </w:r>
      <w:r w:rsidR="000623E6">
        <w:rPr>
          <w:rFonts w:ascii="Times New Roman" w:hAnsi="Times New Roman" w:cs="Times New Roman"/>
          <w:sz w:val="24"/>
          <w:szCs w:val="24"/>
        </w:rPr>
        <w:t>The distribution method also allow</w:t>
      </w:r>
      <w:r w:rsidR="003F778E">
        <w:rPr>
          <w:rFonts w:ascii="Times New Roman" w:hAnsi="Times New Roman" w:cs="Times New Roman"/>
          <w:sz w:val="24"/>
          <w:szCs w:val="24"/>
        </w:rPr>
        <w:t>s</w:t>
      </w:r>
      <w:r w:rsidR="000623E6">
        <w:rPr>
          <w:rFonts w:ascii="Times New Roman" w:hAnsi="Times New Roman" w:cs="Times New Roman"/>
          <w:sz w:val="24"/>
          <w:szCs w:val="24"/>
        </w:rPr>
        <w:t xml:space="preserve"> for heterogeneity in treatment effects, whereas the causal parameter method uses a uniform percentage increase in earnings among the entire sample.</w:t>
      </w:r>
      <w:r w:rsidR="003F778E">
        <w:rPr>
          <w:rFonts w:ascii="Times New Roman" w:hAnsi="Times New Roman" w:cs="Times New Roman"/>
          <w:sz w:val="24"/>
          <w:szCs w:val="24"/>
        </w:rPr>
        <w:t xml:space="preserve"> On the other hand, the causal parameter method</w:t>
      </w:r>
      <w:r w:rsidR="00D13F08">
        <w:rPr>
          <w:rFonts w:ascii="Times New Roman" w:hAnsi="Times New Roman" w:cs="Times New Roman"/>
          <w:sz w:val="24"/>
          <w:szCs w:val="24"/>
        </w:rPr>
        <w:t xml:space="preserve"> may come closer to capturing the “marginal” policy parameter of interest. We thus view the two methods as complements.</w:t>
      </w:r>
    </w:p>
    <w:p w14:paraId="4FC98B4A" w14:textId="6B45949C" w:rsidR="00BD7541" w:rsidRDefault="00BD7541" w:rsidP="00BD7541">
      <w:pPr>
        <w:spacing w:after="0" w:line="480" w:lineRule="auto"/>
        <w:ind w:firstLine="720"/>
        <w:rPr>
          <w:rFonts w:ascii="Times New Roman" w:hAnsi="Times New Roman" w:cs="Times New Roman"/>
          <w:sz w:val="24"/>
          <w:szCs w:val="24"/>
        </w:rPr>
      </w:pPr>
      <w:r w:rsidRPr="00272105">
        <w:rPr>
          <w:rFonts w:ascii="Times New Roman" w:hAnsi="Times New Roman" w:cs="Times New Roman"/>
          <w:sz w:val="24"/>
          <w:szCs w:val="24"/>
        </w:rPr>
        <w:t xml:space="preserve">In the causal parameter approach, high school graduates who </w:t>
      </w:r>
      <w:proofErr w:type="gramStart"/>
      <w:r w:rsidRPr="00272105">
        <w:rPr>
          <w:rFonts w:ascii="Times New Roman" w:hAnsi="Times New Roman" w:cs="Times New Roman"/>
          <w:sz w:val="24"/>
          <w:szCs w:val="24"/>
        </w:rPr>
        <w:t>are assigned</w:t>
      </w:r>
      <w:proofErr w:type="gramEnd"/>
      <w:r w:rsidRPr="00272105">
        <w:rPr>
          <w:rFonts w:ascii="Times New Roman" w:hAnsi="Times New Roman" w:cs="Times New Roman"/>
          <w:sz w:val="24"/>
          <w:szCs w:val="24"/>
        </w:rPr>
        <w:t xml:space="preserve"> an AA </w:t>
      </w:r>
      <w:r>
        <w:rPr>
          <w:rFonts w:ascii="Times New Roman" w:hAnsi="Times New Roman" w:cs="Times New Roman"/>
          <w:sz w:val="24"/>
          <w:szCs w:val="24"/>
        </w:rPr>
        <w:t xml:space="preserve">receive </w:t>
      </w:r>
      <w:r w:rsidRPr="00272105">
        <w:rPr>
          <w:rFonts w:ascii="Times New Roman" w:hAnsi="Times New Roman" w:cs="Times New Roman"/>
          <w:sz w:val="24"/>
          <w:szCs w:val="24"/>
        </w:rPr>
        <w:t>a 29</w:t>
      </w:r>
      <w:r>
        <w:rPr>
          <w:rFonts w:ascii="Times New Roman" w:hAnsi="Times New Roman" w:cs="Times New Roman"/>
          <w:sz w:val="24"/>
          <w:szCs w:val="24"/>
        </w:rPr>
        <w:t xml:space="preserve"> percent</w:t>
      </w:r>
      <w:r w:rsidRPr="00272105">
        <w:rPr>
          <w:rFonts w:ascii="Times New Roman" w:hAnsi="Times New Roman" w:cs="Times New Roman"/>
          <w:sz w:val="24"/>
          <w:szCs w:val="24"/>
        </w:rPr>
        <w:t xml:space="preserve"> annual earnings increase. This estimate </w:t>
      </w:r>
      <w:proofErr w:type="gramStart"/>
      <w:r w:rsidRPr="00272105">
        <w:rPr>
          <w:rFonts w:ascii="Times New Roman" w:hAnsi="Times New Roman" w:cs="Times New Roman"/>
          <w:sz w:val="24"/>
          <w:szCs w:val="24"/>
        </w:rPr>
        <w:t>is based</w:t>
      </w:r>
      <w:proofErr w:type="gramEnd"/>
      <w:r w:rsidRPr="00272105">
        <w:rPr>
          <w:rFonts w:ascii="Times New Roman" w:hAnsi="Times New Roman" w:cs="Times New Roman"/>
          <w:sz w:val="24"/>
          <w:szCs w:val="24"/>
        </w:rPr>
        <w:t xml:space="preserve"> on averaging the effects found for associate degree receipt in Bahr et al. (2014) and Stevens et al. (2015). These papers identify causal estimates using well-established individual fixed-effects methodologies. </w:t>
      </w:r>
      <w:r>
        <w:rPr>
          <w:rFonts w:ascii="Times New Roman" w:hAnsi="Times New Roman" w:cs="Times New Roman"/>
          <w:sz w:val="24"/>
          <w:szCs w:val="24"/>
        </w:rPr>
        <w:t>We assign the h</w:t>
      </w:r>
      <w:r w:rsidRPr="00272105">
        <w:rPr>
          <w:rFonts w:ascii="Times New Roman" w:hAnsi="Times New Roman" w:cs="Times New Roman"/>
          <w:sz w:val="24"/>
          <w:szCs w:val="24"/>
        </w:rPr>
        <w:t xml:space="preserve">igh school graduates who are </w:t>
      </w:r>
      <w:r>
        <w:rPr>
          <w:rFonts w:ascii="Times New Roman" w:hAnsi="Times New Roman" w:cs="Times New Roman"/>
          <w:sz w:val="24"/>
          <w:szCs w:val="24"/>
        </w:rPr>
        <w:t>treated with</w:t>
      </w:r>
      <w:r w:rsidRPr="00272105">
        <w:rPr>
          <w:rFonts w:ascii="Times New Roman" w:hAnsi="Times New Roman" w:cs="Times New Roman"/>
          <w:sz w:val="24"/>
          <w:szCs w:val="24"/>
        </w:rPr>
        <w:t xml:space="preserve"> a BA a </w:t>
      </w:r>
      <w:r>
        <w:rPr>
          <w:rFonts w:ascii="Times New Roman" w:hAnsi="Times New Roman" w:cs="Times New Roman"/>
          <w:sz w:val="24"/>
          <w:szCs w:val="24"/>
        </w:rPr>
        <w:t>68 percent</w:t>
      </w:r>
      <w:r w:rsidRPr="00272105">
        <w:rPr>
          <w:rFonts w:ascii="Times New Roman" w:hAnsi="Times New Roman" w:cs="Times New Roman"/>
          <w:sz w:val="24"/>
          <w:szCs w:val="24"/>
        </w:rPr>
        <w:t xml:space="preserve"> annual earnings increase. This </w:t>
      </w:r>
      <w:proofErr w:type="gramStart"/>
      <w:r>
        <w:rPr>
          <w:rFonts w:ascii="Times New Roman" w:hAnsi="Times New Roman" w:cs="Times New Roman"/>
          <w:sz w:val="24"/>
          <w:szCs w:val="24"/>
        </w:rPr>
        <w:t>is an approximation of</w:t>
      </w:r>
      <w:proofErr w:type="gramEnd"/>
      <w:r>
        <w:rPr>
          <w:rFonts w:ascii="Times New Roman" w:hAnsi="Times New Roman" w:cs="Times New Roman"/>
          <w:sz w:val="24"/>
          <w:szCs w:val="24"/>
        </w:rPr>
        <w:t xml:space="preserve"> the likely causal effect of BA attainment for a marginal student admitted to a less selective university, </w:t>
      </w:r>
      <w:r w:rsidRPr="00272105">
        <w:rPr>
          <w:rFonts w:ascii="Times New Roman" w:hAnsi="Times New Roman" w:cs="Times New Roman"/>
          <w:sz w:val="24"/>
          <w:szCs w:val="24"/>
        </w:rPr>
        <w:t xml:space="preserve">based on </w:t>
      </w:r>
      <w:r>
        <w:rPr>
          <w:rFonts w:ascii="Times New Roman" w:hAnsi="Times New Roman" w:cs="Times New Roman"/>
          <w:sz w:val="24"/>
          <w:szCs w:val="24"/>
        </w:rPr>
        <w:t xml:space="preserve">the findings of </w:t>
      </w:r>
      <w:r w:rsidRPr="00272105">
        <w:rPr>
          <w:rFonts w:ascii="Times New Roman" w:hAnsi="Times New Roman" w:cs="Times New Roman"/>
          <w:sz w:val="24"/>
          <w:szCs w:val="24"/>
        </w:rPr>
        <w:t>Zimmerman (2014)</w:t>
      </w:r>
      <w:r>
        <w:rPr>
          <w:rFonts w:ascii="Times New Roman" w:hAnsi="Times New Roman" w:cs="Times New Roman"/>
          <w:sz w:val="24"/>
          <w:szCs w:val="24"/>
        </w:rPr>
        <w:t xml:space="preserve">. Zimmerman uses a regression discontinuity approach and </w:t>
      </w:r>
      <w:r w:rsidRPr="00272105">
        <w:rPr>
          <w:rFonts w:ascii="Times New Roman" w:hAnsi="Times New Roman" w:cs="Times New Roman"/>
          <w:sz w:val="24"/>
          <w:szCs w:val="24"/>
        </w:rPr>
        <w:t xml:space="preserve">estimates that individuals just admitted to a less-selective state </w:t>
      </w:r>
      <w:r>
        <w:rPr>
          <w:rFonts w:ascii="Times New Roman" w:hAnsi="Times New Roman" w:cs="Times New Roman"/>
          <w:sz w:val="24"/>
          <w:szCs w:val="24"/>
        </w:rPr>
        <w:t>university</w:t>
      </w:r>
      <w:r w:rsidRPr="00272105">
        <w:rPr>
          <w:rFonts w:ascii="Times New Roman" w:hAnsi="Times New Roman" w:cs="Times New Roman"/>
          <w:sz w:val="24"/>
          <w:szCs w:val="24"/>
        </w:rPr>
        <w:t xml:space="preserve"> have a 2</w:t>
      </w:r>
      <w:r>
        <w:rPr>
          <w:rFonts w:ascii="Times New Roman" w:hAnsi="Times New Roman" w:cs="Times New Roman"/>
          <w:sz w:val="24"/>
          <w:szCs w:val="24"/>
        </w:rPr>
        <w:t>2 percent</w:t>
      </w:r>
      <w:r w:rsidRPr="00272105">
        <w:rPr>
          <w:rFonts w:ascii="Times New Roman" w:hAnsi="Times New Roman" w:cs="Times New Roman"/>
          <w:sz w:val="24"/>
          <w:szCs w:val="24"/>
        </w:rPr>
        <w:t xml:space="preserve"> increase in earnings </w:t>
      </w:r>
      <w:r>
        <w:rPr>
          <w:rFonts w:ascii="Times New Roman" w:hAnsi="Times New Roman" w:cs="Times New Roman"/>
          <w:sz w:val="24"/>
          <w:szCs w:val="24"/>
        </w:rPr>
        <w:t xml:space="preserve">8 to 14 years after high school graduation </w:t>
      </w:r>
      <w:r w:rsidRPr="00272105">
        <w:rPr>
          <w:rFonts w:ascii="Times New Roman" w:hAnsi="Times New Roman" w:cs="Times New Roman"/>
          <w:sz w:val="24"/>
          <w:szCs w:val="24"/>
        </w:rPr>
        <w:t xml:space="preserve">relative to those just missing admission. </w:t>
      </w:r>
      <w:r>
        <w:rPr>
          <w:rFonts w:ascii="Times New Roman" w:hAnsi="Times New Roman" w:cs="Times New Roman"/>
          <w:sz w:val="24"/>
          <w:szCs w:val="24"/>
        </w:rPr>
        <w:t xml:space="preserve">To get an IV estimate of the effect of BA attainment, </w:t>
      </w:r>
      <w:r>
        <w:rPr>
          <w:rFonts w:ascii="Times New Roman" w:hAnsi="Times New Roman" w:cs="Times New Roman"/>
          <w:sz w:val="24"/>
          <w:szCs w:val="24"/>
        </w:rPr>
        <w:lastRenderedPageBreak/>
        <w:t xml:space="preserve">Zimmerman scales this earnings increase by the probability of attendance conditional on admissions (49 percent) and the probability of BA completion conditional on attendance (50 percent), yielding an IV estimate of a 90 percent earnings increase as compared to below-threshold earnings. This is almost surely an upper bound because, as Zimmerman acknowledges, admission to the university likely affects earnings through other channels, namely, credit completion without a degree. We thus adjust downward the 90 percent estimate. To do so, we assume that roughly a quarter (or 5 percentage points) of the 22 </w:t>
      </w:r>
      <w:proofErr w:type="gramStart"/>
      <w:r>
        <w:rPr>
          <w:rFonts w:ascii="Times New Roman" w:hAnsi="Times New Roman" w:cs="Times New Roman"/>
          <w:sz w:val="24"/>
          <w:szCs w:val="24"/>
        </w:rPr>
        <w:t>percent</w:t>
      </w:r>
      <w:proofErr w:type="gramEnd"/>
      <w:r>
        <w:rPr>
          <w:rFonts w:ascii="Times New Roman" w:hAnsi="Times New Roman" w:cs="Times New Roman"/>
          <w:sz w:val="24"/>
          <w:szCs w:val="24"/>
        </w:rPr>
        <w:t xml:space="preserve"> earnings increase associated with admission comes from the attendance without completion channel. We thus apply the scaling to a 17 percent earnings increase, obtaining a 68 percent “IV” estimate of BA attainment, rather than 90 percent. </w:t>
      </w:r>
    </w:p>
    <w:p w14:paraId="01F17D5D" w14:textId="18C474F4" w:rsidR="00BD7541" w:rsidRPr="00272105" w:rsidRDefault="00BD7541" w:rsidP="00BD75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68 percent estimate is likely a </w:t>
      </w:r>
      <w:r w:rsidRPr="00272105">
        <w:rPr>
          <w:rFonts w:ascii="Times New Roman" w:hAnsi="Times New Roman" w:cs="Times New Roman"/>
          <w:sz w:val="24"/>
          <w:szCs w:val="24"/>
        </w:rPr>
        <w:t xml:space="preserve">conservative </w:t>
      </w:r>
      <w:r w:rsidR="003B39F8">
        <w:rPr>
          <w:rFonts w:ascii="Times New Roman" w:hAnsi="Times New Roman" w:cs="Times New Roman"/>
          <w:sz w:val="24"/>
          <w:szCs w:val="24"/>
        </w:rPr>
        <w:t>measure</w:t>
      </w:r>
      <w:r>
        <w:rPr>
          <w:rFonts w:ascii="Times New Roman" w:hAnsi="Times New Roman" w:cs="Times New Roman"/>
          <w:sz w:val="24"/>
          <w:szCs w:val="24"/>
        </w:rPr>
        <w:t xml:space="preserve"> of </w:t>
      </w:r>
      <w:r w:rsidRPr="00272105">
        <w:rPr>
          <w:rFonts w:ascii="Times New Roman" w:hAnsi="Times New Roman" w:cs="Times New Roman"/>
          <w:sz w:val="24"/>
          <w:szCs w:val="24"/>
        </w:rPr>
        <w:t xml:space="preserve">the earnings premium </w:t>
      </w:r>
      <w:r>
        <w:rPr>
          <w:rFonts w:ascii="Times New Roman" w:hAnsi="Times New Roman" w:cs="Times New Roman"/>
          <w:sz w:val="24"/>
          <w:szCs w:val="24"/>
        </w:rPr>
        <w:t xml:space="preserve">because it does not allow for the additional earnings premium that would be </w:t>
      </w:r>
      <w:r w:rsidRPr="00272105">
        <w:rPr>
          <w:rFonts w:ascii="Times New Roman" w:hAnsi="Times New Roman" w:cs="Times New Roman"/>
          <w:sz w:val="24"/>
          <w:szCs w:val="24"/>
        </w:rPr>
        <w:t xml:space="preserve">associated with a </w:t>
      </w:r>
      <w:r>
        <w:rPr>
          <w:rFonts w:ascii="Times New Roman" w:hAnsi="Times New Roman" w:cs="Times New Roman"/>
          <w:sz w:val="24"/>
          <w:szCs w:val="24"/>
        </w:rPr>
        <w:t xml:space="preserve">more </w:t>
      </w:r>
      <w:r w:rsidRPr="00272105">
        <w:rPr>
          <w:rFonts w:ascii="Times New Roman" w:hAnsi="Times New Roman" w:cs="Times New Roman"/>
          <w:sz w:val="24"/>
          <w:szCs w:val="24"/>
        </w:rPr>
        <w:t>selective institution</w:t>
      </w:r>
      <w:r>
        <w:rPr>
          <w:rFonts w:ascii="Times New Roman" w:hAnsi="Times New Roman" w:cs="Times New Roman"/>
          <w:sz w:val="24"/>
          <w:szCs w:val="24"/>
        </w:rPr>
        <w:t>.</w:t>
      </w:r>
      <w:r w:rsidR="007111D9">
        <w:rPr>
          <w:rStyle w:val="FootnoteReference"/>
          <w:rFonts w:ascii="Times New Roman" w:hAnsi="Times New Roman" w:cs="Times New Roman"/>
          <w:sz w:val="24"/>
          <w:szCs w:val="24"/>
        </w:rPr>
        <w:footnoteReference w:id="10"/>
      </w:r>
      <w:r w:rsidRPr="00272105">
        <w:rPr>
          <w:rFonts w:ascii="Times New Roman" w:hAnsi="Times New Roman" w:cs="Times New Roman"/>
          <w:sz w:val="24"/>
          <w:szCs w:val="24"/>
        </w:rPr>
        <w:t xml:space="preserve"> </w:t>
      </w:r>
      <w:r>
        <w:rPr>
          <w:rFonts w:ascii="Times New Roman" w:hAnsi="Times New Roman" w:cs="Times New Roman"/>
          <w:sz w:val="24"/>
          <w:szCs w:val="24"/>
        </w:rPr>
        <w:t xml:space="preserve">Based on a regression discontinuity admissions cutoff at a more selective university than the one considered by Zimmerman (2014), </w:t>
      </w:r>
      <w:r w:rsidRPr="00272105">
        <w:rPr>
          <w:rFonts w:ascii="Times New Roman" w:hAnsi="Times New Roman" w:cs="Times New Roman"/>
          <w:sz w:val="24"/>
          <w:szCs w:val="24"/>
        </w:rPr>
        <w:t>Hoekstra (2009) estimates a 20 percent local average treatment effect on earnings of enrolling at a state flagship university</w:t>
      </w:r>
      <w:r>
        <w:rPr>
          <w:rFonts w:ascii="Times New Roman" w:hAnsi="Times New Roman" w:cs="Times New Roman"/>
          <w:sz w:val="24"/>
          <w:szCs w:val="24"/>
        </w:rPr>
        <w:t>, as compared to the likely counterfactual of attending a less selective institution</w:t>
      </w:r>
      <w:r w:rsidRPr="00272105">
        <w:rPr>
          <w:rFonts w:ascii="Times New Roman" w:hAnsi="Times New Roman" w:cs="Times New Roman"/>
          <w:sz w:val="24"/>
          <w:szCs w:val="24"/>
        </w:rPr>
        <w:t xml:space="preserve">. </w:t>
      </w:r>
      <w:r>
        <w:rPr>
          <w:rFonts w:ascii="Times New Roman" w:hAnsi="Times New Roman" w:cs="Times New Roman"/>
          <w:sz w:val="24"/>
          <w:szCs w:val="24"/>
        </w:rPr>
        <w:t>Thus, a</w:t>
      </w:r>
      <w:r w:rsidRPr="00272105">
        <w:rPr>
          <w:rFonts w:ascii="Times New Roman" w:hAnsi="Times New Roman" w:cs="Times New Roman"/>
          <w:sz w:val="24"/>
          <w:szCs w:val="24"/>
        </w:rPr>
        <w:t xml:space="preserve"> reasonable extension to the </w:t>
      </w:r>
      <w:r>
        <w:rPr>
          <w:rFonts w:ascii="Times New Roman" w:hAnsi="Times New Roman" w:cs="Times New Roman"/>
          <w:sz w:val="24"/>
          <w:szCs w:val="24"/>
        </w:rPr>
        <w:t xml:space="preserve">assignment of a 68 percent causal parameter (which we do not incorporate) </w:t>
      </w:r>
      <w:r w:rsidRPr="00272105">
        <w:rPr>
          <w:rFonts w:ascii="Times New Roman" w:hAnsi="Times New Roman" w:cs="Times New Roman"/>
          <w:sz w:val="24"/>
          <w:szCs w:val="24"/>
        </w:rPr>
        <w:t xml:space="preserve">would be to assign some share of new BA holders an additional </w:t>
      </w:r>
      <w:r>
        <w:rPr>
          <w:rFonts w:ascii="Times New Roman" w:hAnsi="Times New Roman" w:cs="Times New Roman"/>
          <w:sz w:val="24"/>
          <w:szCs w:val="24"/>
        </w:rPr>
        <w:t xml:space="preserve">(multiplicative) </w:t>
      </w:r>
      <w:r w:rsidRPr="00272105">
        <w:rPr>
          <w:rFonts w:ascii="Times New Roman" w:hAnsi="Times New Roman" w:cs="Times New Roman"/>
          <w:sz w:val="24"/>
          <w:szCs w:val="24"/>
        </w:rPr>
        <w:t>20</w:t>
      </w:r>
      <w:r>
        <w:rPr>
          <w:rFonts w:ascii="Times New Roman" w:hAnsi="Times New Roman" w:cs="Times New Roman"/>
          <w:sz w:val="24"/>
          <w:szCs w:val="24"/>
        </w:rPr>
        <w:t xml:space="preserve"> percent</w:t>
      </w:r>
      <w:r w:rsidRPr="00272105">
        <w:rPr>
          <w:rFonts w:ascii="Times New Roman" w:hAnsi="Times New Roman" w:cs="Times New Roman"/>
          <w:sz w:val="24"/>
          <w:szCs w:val="24"/>
        </w:rPr>
        <w:t xml:space="preserve"> premium</w:t>
      </w:r>
      <w:r>
        <w:rPr>
          <w:rFonts w:ascii="Times New Roman" w:hAnsi="Times New Roman" w:cs="Times New Roman"/>
          <w:sz w:val="24"/>
          <w:szCs w:val="24"/>
        </w:rPr>
        <w:t>.</w:t>
      </w:r>
    </w:p>
    <w:p w14:paraId="0CE157D3" w14:textId="39CAA041" w:rsidR="00455B5C" w:rsidRDefault="00272105" w:rsidP="005F1DFF">
      <w:pPr>
        <w:spacing w:after="0" w:line="480" w:lineRule="auto"/>
        <w:rPr>
          <w:rFonts w:ascii="Times New Roman" w:eastAsia="Times New Roman" w:hAnsi="Times New Roman" w:cs="Times New Roman"/>
          <w:color w:val="000000"/>
          <w:sz w:val="24"/>
          <w:szCs w:val="24"/>
        </w:rPr>
      </w:pPr>
      <w:r>
        <w:rPr>
          <w:rFonts w:ascii="Times New Roman" w:hAnsi="Times New Roman" w:cs="Times New Roman"/>
          <w:sz w:val="24"/>
          <w:szCs w:val="24"/>
        </w:rPr>
        <w:tab/>
        <w:t xml:space="preserve">In both the distribution and causal parameter method, we further adjust earnings for the relative wage effect that is likely to result from an increase in the </w:t>
      </w:r>
      <w:r w:rsidRPr="00272105">
        <w:rPr>
          <w:rFonts w:ascii="Times New Roman" w:hAnsi="Times New Roman" w:cs="Times New Roman"/>
          <w:sz w:val="24"/>
          <w:szCs w:val="24"/>
        </w:rPr>
        <w:t xml:space="preserve">share of the population with a </w:t>
      </w:r>
      <w:r w:rsidRPr="00272105">
        <w:rPr>
          <w:rFonts w:ascii="Times New Roman" w:hAnsi="Times New Roman" w:cs="Times New Roman"/>
          <w:sz w:val="24"/>
          <w:szCs w:val="24"/>
        </w:rPr>
        <w:lastRenderedPageBreak/>
        <w:t xml:space="preserve">college degree. </w:t>
      </w:r>
      <w:r w:rsidR="00455B5C" w:rsidRPr="00B43067">
        <w:rPr>
          <w:rFonts w:ascii="Times New Roman" w:eastAsia="Times New Roman" w:hAnsi="Times New Roman" w:cs="Times New Roman"/>
          <w:color w:val="000000"/>
          <w:sz w:val="24"/>
          <w:szCs w:val="24"/>
        </w:rPr>
        <w:t xml:space="preserve">To incorporate this </w:t>
      </w:r>
      <w:r w:rsidR="00455B5C">
        <w:rPr>
          <w:rFonts w:ascii="Times New Roman" w:eastAsia="Times New Roman" w:hAnsi="Times New Roman" w:cs="Times New Roman"/>
          <w:color w:val="000000"/>
          <w:sz w:val="24"/>
          <w:szCs w:val="24"/>
        </w:rPr>
        <w:t xml:space="preserve">relative </w:t>
      </w:r>
      <w:r w:rsidR="00455B5C" w:rsidRPr="00B43067">
        <w:rPr>
          <w:rFonts w:ascii="Times New Roman" w:eastAsia="Times New Roman" w:hAnsi="Times New Roman" w:cs="Times New Roman"/>
          <w:color w:val="000000"/>
          <w:sz w:val="24"/>
          <w:szCs w:val="24"/>
        </w:rPr>
        <w:t xml:space="preserve">wage response into our simulation exercise, we </w:t>
      </w:r>
      <w:r w:rsidR="00E34AE4" w:rsidRPr="00272105">
        <w:rPr>
          <w:rFonts w:ascii="Times New Roman" w:hAnsi="Times New Roman" w:cs="Times New Roman"/>
          <w:sz w:val="24"/>
          <w:szCs w:val="24"/>
        </w:rPr>
        <w:t>follow the common paradigm in the academic literature</w:t>
      </w:r>
      <w:r w:rsidR="0034511E">
        <w:rPr>
          <w:rFonts w:ascii="Times New Roman" w:hAnsi="Times New Roman" w:cs="Times New Roman"/>
          <w:sz w:val="24"/>
          <w:szCs w:val="24"/>
        </w:rPr>
        <w:t xml:space="preserve">, </w:t>
      </w:r>
      <w:r w:rsidR="00E34AE4">
        <w:rPr>
          <w:rFonts w:ascii="Times New Roman" w:hAnsi="Times New Roman" w:cs="Times New Roman"/>
          <w:sz w:val="24"/>
          <w:szCs w:val="24"/>
        </w:rPr>
        <w:t>as describe</w:t>
      </w:r>
      <w:r w:rsidR="0034511E">
        <w:rPr>
          <w:rFonts w:ascii="Times New Roman" w:hAnsi="Times New Roman" w:cs="Times New Roman"/>
          <w:sz w:val="24"/>
          <w:szCs w:val="24"/>
        </w:rPr>
        <w:t xml:space="preserve">d in </w:t>
      </w:r>
      <w:proofErr w:type="spellStart"/>
      <w:r w:rsidR="0034511E">
        <w:rPr>
          <w:rFonts w:ascii="Times New Roman" w:hAnsi="Times New Roman" w:cs="Times New Roman"/>
          <w:sz w:val="24"/>
          <w:szCs w:val="24"/>
        </w:rPr>
        <w:t>Autor</w:t>
      </w:r>
      <w:proofErr w:type="spellEnd"/>
      <w:r w:rsidR="0034511E">
        <w:rPr>
          <w:rFonts w:ascii="Times New Roman" w:hAnsi="Times New Roman" w:cs="Times New Roman"/>
          <w:sz w:val="24"/>
          <w:szCs w:val="24"/>
        </w:rPr>
        <w:t xml:space="preserve"> and </w:t>
      </w:r>
      <w:proofErr w:type="spellStart"/>
      <w:r w:rsidR="0034511E">
        <w:rPr>
          <w:rFonts w:ascii="Times New Roman" w:hAnsi="Times New Roman" w:cs="Times New Roman"/>
          <w:sz w:val="24"/>
          <w:szCs w:val="24"/>
        </w:rPr>
        <w:t>Acemoglu</w:t>
      </w:r>
      <w:proofErr w:type="spellEnd"/>
      <w:r w:rsidR="0034511E">
        <w:rPr>
          <w:rFonts w:ascii="Times New Roman" w:hAnsi="Times New Roman" w:cs="Times New Roman"/>
          <w:sz w:val="24"/>
          <w:szCs w:val="24"/>
        </w:rPr>
        <w:t xml:space="preserve"> (201</w:t>
      </w:r>
      <w:r w:rsidR="00B5558A">
        <w:rPr>
          <w:rFonts w:ascii="Times New Roman" w:hAnsi="Times New Roman" w:cs="Times New Roman"/>
          <w:sz w:val="24"/>
          <w:szCs w:val="24"/>
        </w:rPr>
        <w:t>1</w:t>
      </w:r>
      <w:r w:rsidR="0034511E">
        <w:rPr>
          <w:rFonts w:ascii="Times New Roman" w:hAnsi="Times New Roman" w:cs="Times New Roman"/>
          <w:sz w:val="24"/>
          <w:szCs w:val="24"/>
        </w:rPr>
        <w:t>),</w:t>
      </w:r>
      <w:r w:rsidR="00E34AE4" w:rsidRPr="00272105">
        <w:rPr>
          <w:rFonts w:ascii="Times New Roman" w:hAnsi="Times New Roman" w:cs="Times New Roman"/>
          <w:sz w:val="24"/>
          <w:szCs w:val="24"/>
        </w:rPr>
        <w:t xml:space="preserve"> and specify a two</w:t>
      </w:r>
      <w:r w:rsidR="00E34AE4">
        <w:rPr>
          <w:rFonts w:ascii="Times New Roman" w:hAnsi="Times New Roman" w:cs="Times New Roman"/>
          <w:sz w:val="24"/>
          <w:szCs w:val="24"/>
        </w:rPr>
        <w:t>-factor CES production function model. In one case, the model includes BA and high school degree workers</w:t>
      </w:r>
      <w:r w:rsidR="008C49A2">
        <w:rPr>
          <w:rFonts w:ascii="Times New Roman" w:hAnsi="Times New Roman" w:cs="Times New Roman"/>
          <w:sz w:val="24"/>
          <w:szCs w:val="24"/>
        </w:rPr>
        <w:t>,</w:t>
      </w:r>
      <w:r w:rsidR="00E34AE4">
        <w:rPr>
          <w:rFonts w:ascii="Times New Roman" w:hAnsi="Times New Roman" w:cs="Times New Roman"/>
          <w:sz w:val="24"/>
          <w:szCs w:val="24"/>
        </w:rPr>
        <w:t xml:space="preserve"> and in the other case, the model includes AA and high school degree workers.</w:t>
      </w:r>
    </w:p>
    <w:p w14:paraId="03C234AF" w14:textId="5A1E03D3" w:rsidR="00BA063A" w:rsidRDefault="005B7ADE" w:rsidP="00494E60">
      <w:pPr>
        <w:shd w:val="clear" w:color="auto" w:fill="FFFFFF"/>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Appendix C </w:t>
      </w:r>
      <w:r w:rsidR="001F099A">
        <w:rPr>
          <w:rFonts w:ascii="Times New Roman" w:eastAsia="Times New Roman" w:hAnsi="Times New Roman" w:cs="Times New Roman"/>
          <w:color w:val="000000"/>
          <w:sz w:val="24"/>
          <w:szCs w:val="24"/>
        </w:rPr>
        <w:t>describes</w:t>
      </w:r>
      <w:r w:rsidR="00352D7D">
        <w:rPr>
          <w:rFonts w:ascii="Times New Roman" w:eastAsia="Times New Roman" w:hAnsi="Times New Roman" w:cs="Times New Roman"/>
          <w:color w:val="000000"/>
          <w:sz w:val="24"/>
          <w:szCs w:val="24"/>
        </w:rPr>
        <w:t xml:space="preserve"> our methodology</w:t>
      </w:r>
      <w:r w:rsidR="004516C7">
        <w:rPr>
          <w:rFonts w:ascii="Times New Roman" w:eastAsia="Times New Roman" w:hAnsi="Times New Roman" w:cs="Times New Roman"/>
          <w:color w:val="000000"/>
          <w:sz w:val="24"/>
          <w:szCs w:val="24"/>
        </w:rPr>
        <w:t xml:space="preserve"> for estimating relative wage effects</w:t>
      </w:r>
      <w:r w:rsidR="00090E3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and </w:t>
      </w:r>
      <w:r w:rsidR="004516C7">
        <w:rPr>
          <w:rFonts w:ascii="Times New Roman" w:eastAsia="Times New Roman" w:hAnsi="Times New Roman" w:cs="Times New Roman"/>
          <w:color w:val="000000"/>
          <w:sz w:val="24"/>
          <w:szCs w:val="24"/>
        </w:rPr>
        <w:t xml:space="preserve">presents </w:t>
      </w:r>
      <w:r w:rsidR="00352D7D">
        <w:rPr>
          <w:rFonts w:ascii="Times New Roman" w:eastAsia="Times New Roman" w:hAnsi="Times New Roman" w:cs="Times New Roman"/>
          <w:color w:val="000000"/>
          <w:sz w:val="24"/>
          <w:szCs w:val="24"/>
        </w:rPr>
        <w:t>the resulting relative wage response</w:t>
      </w:r>
      <w:r w:rsidR="007111D9">
        <w:rPr>
          <w:rFonts w:ascii="Times New Roman" w:eastAsia="Times New Roman" w:hAnsi="Times New Roman" w:cs="Times New Roman"/>
          <w:color w:val="000000"/>
          <w:sz w:val="24"/>
          <w:szCs w:val="24"/>
        </w:rPr>
        <w:t>s</w:t>
      </w:r>
      <w:r w:rsidR="0034511E">
        <w:rPr>
          <w:rFonts w:ascii="Times New Roman" w:eastAsia="Times New Roman" w:hAnsi="Times New Roman" w:cs="Times New Roman"/>
          <w:color w:val="000000"/>
          <w:sz w:val="24"/>
          <w:szCs w:val="24"/>
        </w:rPr>
        <w:t>.</w:t>
      </w:r>
      <w:r w:rsidR="004516C7">
        <w:rPr>
          <w:rFonts w:ascii="Times New Roman" w:eastAsia="Times New Roman" w:hAnsi="Times New Roman" w:cs="Times New Roman"/>
          <w:color w:val="000000"/>
          <w:sz w:val="24"/>
          <w:szCs w:val="24"/>
        </w:rPr>
        <w:t xml:space="preserve"> </w:t>
      </w:r>
      <w:r w:rsidR="0034511E">
        <w:rPr>
          <w:rFonts w:ascii="Times New Roman" w:eastAsia="Times New Roman" w:hAnsi="Times New Roman" w:cs="Times New Roman"/>
          <w:color w:val="000000"/>
          <w:sz w:val="24"/>
          <w:szCs w:val="24"/>
        </w:rPr>
        <w:t>W</w:t>
      </w:r>
      <w:r w:rsidR="00090E39">
        <w:rPr>
          <w:rFonts w:ascii="Times New Roman" w:eastAsia="Times New Roman" w:hAnsi="Times New Roman" w:cs="Times New Roman"/>
          <w:color w:val="000000"/>
          <w:sz w:val="24"/>
          <w:szCs w:val="24"/>
        </w:rPr>
        <w:t xml:space="preserve">e estimate that within </w:t>
      </w:r>
      <w:r w:rsidR="0034511E">
        <w:rPr>
          <w:rFonts w:ascii="Times New Roman" w:eastAsia="Times New Roman" w:hAnsi="Times New Roman" w:cs="Times New Roman"/>
          <w:color w:val="000000"/>
          <w:sz w:val="24"/>
          <w:szCs w:val="24"/>
        </w:rPr>
        <w:t>our</w:t>
      </w:r>
      <w:r w:rsidR="00090E39">
        <w:rPr>
          <w:rFonts w:ascii="Times New Roman" w:eastAsia="Times New Roman" w:hAnsi="Times New Roman" w:cs="Times New Roman"/>
          <w:color w:val="000000"/>
          <w:sz w:val="24"/>
          <w:szCs w:val="24"/>
        </w:rPr>
        <w:t xml:space="preserve"> sample, a </w:t>
      </w:r>
      <w:r w:rsidR="007111D9">
        <w:rPr>
          <w:rFonts w:ascii="Times New Roman" w:eastAsia="Times New Roman" w:hAnsi="Times New Roman" w:cs="Times New Roman"/>
          <w:color w:val="000000"/>
          <w:sz w:val="24"/>
          <w:szCs w:val="24"/>
        </w:rPr>
        <w:t>1</w:t>
      </w:r>
      <w:r w:rsidR="00090E39">
        <w:rPr>
          <w:rFonts w:ascii="Times New Roman" w:eastAsia="Times New Roman" w:hAnsi="Times New Roman" w:cs="Times New Roman"/>
          <w:color w:val="000000"/>
          <w:sz w:val="24"/>
          <w:szCs w:val="24"/>
        </w:rPr>
        <w:t xml:space="preserve"> percent increase in the relative supply of</w:t>
      </w:r>
      <w:r w:rsidR="005F1DFF">
        <w:rPr>
          <w:rFonts w:ascii="Times New Roman" w:eastAsia="Times New Roman" w:hAnsi="Times New Roman" w:cs="Times New Roman"/>
          <w:color w:val="000000"/>
          <w:sz w:val="24"/>
          <w:szCs w:val="24"/>
        </w:rPr>
        <w:t xml:space="preserve"> </w:t>
      </w:r>
      <w:r w:rsidR="007111D9">
        <w:rPr>
          <w:rFonts w:ascii="Times New Roman" w:eastAsia="Times New Roman" w:hAnsi="Times New Roman" w:cs="Times New Roman"/>
          <w:color w:val="000000"/>
          <w:sz w:val="24"/>
          <w:szCs w:val="24"/>
        </w:rPr>
        <w:t xml:space="preserve">labor with a </w:t>
      </w:r>
      <w:r w:rsidR="005F1DFF">
        <w:rPr>
          <w:rFonts w:ascii="Times New Roman" w:eastAsia="Times New Roman" w:hAnsi="Times New Roman" w:cs="Times New Roman"/>
          <w:color w:val="000000"/>
          <w:sz w:val="24"/>
          <w:szCs w:val="24"/>
        </w:rPr>
        <w:t>BA</w:t>
      </w:r>
      <w:r w:rsidR="00B36299">
        <w:rPr>
          <w:rFonts w:ascii="Times New Roman" w:eastAsia="Times New Roman" w:hAnsi="Times New Roman" w:cs="Times New Roman"/>
          <w:color w:val="000000"/>
          <w:sz w:val="24"/>
          <w:szCs w:val="24"/>
        </w:rPr>
        <w:t xml:space="preserve"> or more</w:t>
      </w:r>
      <w:r w:rsidR="005F1DFF">
        <w:rPr>
          <w:rFonts w:ascii="Times New Roman" w:eastAsia="Times New Roman" w:hAnsi="Times New Roman" w:cs="Times New Roman"/>
          <w:color w:val="000000"/>
          <w:sz w:val="24"/>
          <w:szCs w:val="24"/>
        </w:rPr>
        <w:t xml:space="preserve"> to non-BA high school </w:t>
      </w:r>
      <w:r w:rsidR="00090E39">
        <w:rPr>
          <w:rFonts w:ascii="Times New Roman" w:eastAsia="Times New Roman" w:hAnsi="Times New Roman" w:cs="Times New Roman"/>
          <w:color w:val="000000"/>
          <w:sz w:val="24"/>
          <w:szCs w:val="24"/>
        </w:rPr>
        <w:t>graduates</w:t>
      </w:r>
      <w:r w:rsidR="00352D7D">
        <w:rPr>
          <w:rFonts w:ascii="Times New Roman" w:eastAsia="Times New Roman" w:hAnsi="Times New Roman" w:cs="Times New Roman"/>
          <w:color w:val="000000"/>
          <w:sz w:val="24"/>
          <w:szCs w:val="24"/>
        </w:rPr>
        <w:t xml:space="preserve"> </w:t>
      </w:r>
      <w:r w:rsidR="00090E39">
        <w:rPr>
          <w:rFonts w:ascii="Times New Roman" w:eastAsia="Times New Roman" w:hAnsi="Times New Roman" w:cs="Times New Roman"/>
          <w:color w:val="000000"/>
          <w:sz w:val="24"/>
          <w:szCs w:val="24"/>
        </w:rPr>
        <w:t xml:space="preserve">will narrow the </w:t>
      </w:r>
      <w:r w:rsidR="008C49A2">
        <w:rPr>
          <w:rFonts w:ascii="Times New Roman" w:eastAsia="Times New Roman" w:hAnsi="Times New Roman" w:cs="Times New Roman"/>
          <w:color w:val="000000"/>
          <w:sz w:val="24"/>
          <w:szCs w:val="24"/>
        </w:rPr>
        <w:t xml:space="preserve">relative </w:t>
      </w:r>
      <w:r w:rsidR="00090E39">
        <w:rPr>
          <w:rFonts w:ascii="Times New Roman" w:eastAsia="Times New Roman" w:hAnsi="Times New Roman" w:cs="Times New Roman"/>
          <w:color w:val="000000"/>
          <w:sz w:val="24"/>
          <w:szCs w:val="24"/>
        </w:rPr>
        <w:t>wage premium by 0.2</w:t>
      </w:r>
      <w:r w:rsidR="00B85355">
        <w:rPr>
          <w:rFonts w:ascii="Times New Roman" w:eastAsia="Times New Roman" w:hAnsi="Times New Roman" w:cs="Times New Roman"/>
          <w:color w:val="000000"/>
          <w:sz w:val="24"/>
          <w:szCs w:val="24"/>
        </w:rPr>
        <w:t xml:space="preserve">5 </w:t>
      </w:r>
      <w:r w:rsidR="00090E39">
        <w:rPr>
          <w:rFonts w:ascii="Times New Roman" w:eastAsia="Times New Roman" w:hAnsi="Times New Roman" w:cs="Times New Roman"/>
          <w:color w:val="000000"/>
          <w:sz w:val="24"/>
          <w:szCs w:val="24"/>
        </w:rPr>
        <w:t>percent</w:t>
      </w:r>
      <w:r w:rsidR="008C49A2">
        <w:rPr>
          <w:rFonts w:ascii="Times New Roman" w:eastAsia="Times New Roman" w:hAnsi="Times New Roman" w:cs="Times New Roman"/>
          <w:color w:val="000000"/>
          <w:sz w:val="24"/>
          <w:szCs w:val="24"/>
        </w:rPr>
        <w:t>;</w:t>
      </w:r>
      <w:r w:rsidR="00090E39">
        <w:rPr>
          <w:rFonts w:ascii="Times New Roman" w:eastAsia="Times New Roman" w:hAnsi="Times New Roman" w:cs="Times New Roman"/>
          <w:color w:val="000000"/>
          <w:sz w:val="24"/>
          <w:szCs w:val="24"/>
        </w:rPr>
        <w:t xml:space="preserve"> </w:t>
      </w:r>
      <w:r w:rsidR="008C49A2">
        <w:rPr>
          <w:rFonts w:ascii="Times New Roman" w:eastAsia="Times New Roman" w:hAnsi="Times New Roman" w:cs="Times New Roman"/>
          <w:color w:val="000000"/>
          <w:sz w:val="24"/>
          <w:szCs w:val="24"/>
        </w:rPr>
        <w:t xml:space="preserve">analogously, </w:t>
      </w:r>
      <w:r w:rsidR="00090E39">
        <w:rPr>
          <w:rFonts w:ascii="Times New Roman" w:eastAsia="Times New Roman" w:hAnsi="Times New Roman" w:cs="Times New Roman"/>
          <w:color w:val="000000"/>
          <w:sz w:val="24"/>
          <w:szCs w:val="24"/>
        </w:rPr>
        <w:t xml:space="preserve">a </w:t>
      </w:r>
      <w:r w:rsidR="007111D9">
        <w:rPr>
          <w:rFonts w:ascii="Times New Roman" w:eastAsia="Times New Roman" w:hAnsi="Times New Roman" w:cs="Times New Roman"/>
          <w:color w:val="000000"/>
          <w:sz w:val="24"/>
          <w:szCs w:val="24"/>
        </w:rPr>
        <w:t>1</w:t>
      </w:r>
      <w:r w:rsidR="00090E39">
        <w:rPr>
          <w:rFonts w:ascii="Times New Roman" w:eastAsia="Times New Roman" w:hAnsi="Times New Roman" w:cs="Times New Roman"/>
          <w:color w:val="000000"/>
          <w:sz w:val="24"/>
          <w:szCs w:val="24"/>
        </w:rPr>
        <w:t xml:space="preserve"> percent increase in the </w:t>
      </w:r>
      <w:r w:rsidR="0034511E">
        <w:rPr>
          <w:rFonts w:ascii="Times New Roman" w:eastAsia="Times New Roman" w:hAnsi="Times New Roman" w:cs="Times New Roman"/>
          <w:color w:val="000000"/>
          <w:sz w:val="24"/>
          <w:szCs w:val="24"/>
        </w:rPr>
        <w:t xml:space="preserve">relative supply of </w:t>
      </w:r>
      <w:r w:rsidR="005F1DFF">
        <w:rPr>
          <w:rFonts w:ascii="Times New Roman" w:eastAsia="Times New Roman" w:hAnsi="Times New Roman" w:cs="Times New Roman"/>
          <w:color w:val="000000"/>
          <w:sz w:val="24"/>
          <w:szCs w:val="24"/>
        </w:rPr>
        <w:t>AA</w:t>
      </w:r>
      <w:r w:rsidR="007111D9">
        <w:rPr>
          <w:rFonts w:ascii="Times New Roman" w:eastAsia="Times New Roman" w:hAnsi="Times New Roman" w:cs="Times New Roman"/>
          <w:color w:val="000000"/>
          <w:sz w:val="24"/>
          <w:szCs w:val="24"/>
        </w:rPr>
        <w:t>-</w:t>
      </w:r>
      <w:r w:rsidR="005F1DFF">
        <w:rPr>
          <w:rFonts w:ascii="Times New Roman" w:eastAsia="Times New Roman" w:hAnsi="Times New Roman" w:cs="Times New Roman"/>
          <w:color w:val="000000"/>
          <w:sz w:val="24"/>
          <w:szCs w:val="24"/>
        </w:rPr>
        <w:t xml:space="preserve">degree holders to </w:t>
      </w:r>
      <w:r w:rsidR="00EB617C">
        <w:rPr>
          <w:rFonts w:ascii="Times New Roman" w:eastAsia="Times New Roman" w:hAnsi="Times New Roman" w:cs="Times New Roman"/>
          <w:color w:val="000000"/>
          <w:sz w:val="24"/>
          <w:szCs w:val="24"/>
        </w:rPr>
        <w:t>high school graduates</w:t>
      </w:r>
      <w:r w:rsidR="005F1DFF">
        <w:rPr>
          <w:rFonts w:ascii="Times New Roman" w:eastAsia="Times New Roman" w:hAnsi="Times New Roman" w:cs="Times New Roman"/>
          <w:color w:val="000000"/>
          <w:sz w:val="24"/>
          <w:szCs w:val="24"/>
        </w:rPr>
        <w:t xml:space="preserve"> </w:t>
      </w:r>
      <w:r w:rsidR="00090E39">
        <w:rPr>
          <w:rFonts w:ascii="Times New Roman" w:eastAsia="Times New Roman" w:hAnsi="Times New Roman" w:cs="Times New Roman"/>
          <w:color w:val="000000"/>
          <w:sz w:val="24"/>
          <w:szCs w:val="24"/>
        </w:rPr>
        <w:t>will decrease th</w:t>
      </w:r>
      <w:r w:rsidR="008C49A2">
        <w:rPr>
          <w:rFonts w:ascii="Times New Roman" w:eastAsia="Times New Roman" w:hAnsi="Times New Roman" w:cs="Times New Roman"/>
          <w:color w:val="000000"/>
          <w:sz w:val="24"/>
          <w:szCs w:val="24"/>
        </w:rPr>
        <w:t>at relative</w:t>
      </w:r>
      <w:r w:rsidR="00090E39">
        <w:rPr>
          <w:rFonts w:ascii="Times New Roman" w:eastAsia="Times New Roman" w:hAnsi="Times New Roman" w:cs="Times New Roman"/>
          <w:color w:val="000000"/>
          <w:sz w:val="24"/>
          <w:szCs w:val="24"/>
        </w:rPr>
        <w:t xml:space="preserve"> wage premium by 0.1</w:t>
      </w:r>
      <w:r w:rsidR="00B15415">
        <w:rPr>
          <w:rFonts w:ascii="Times New Roman" w:eastAsia="Times New Roman" w:hAnsi="Times New Roman" w:cs="Times New Roman"/>
          <w:color w:val="000000"/>
          <w:sz w:val="24"/>
          <w:szCs w:val="24"/>
        </w:rPr>
        <w:t>8</w:t>
      </w:r>
      <w:r w:rsidR="00090E39">
        <w:rPr>
          <w:rFonts w:ascii="Times New Roman" w:eastAsia="Times New Roman" w:hAnsi="Times New Roman" w:cs="Times New Roman"/>
          <w:color w:val="000000"/>
          <w:sz w:val="24"/>
          <w:szCs w:val="24"/>
        </w:rPr>
        <w:t xml:space="preserve"> percent.</w:t>
      </w:r>
      <w:r w:rsidR="00B36299">
        <w:rPr>
          <w:rStyle w:val="FootnoteReference"/>
          <w:rFonts w:ascii="Times New Roman" w:eastAsia="Times New Roman" w:hAnsi="Times New Roman" w:cs="Times New Roman"/>
          <w:color w:val="000000"/>
          <w:sz w:val="24"/>
          <w:szCs w:val="24"/>
        </w:rPr>
        <w:footnoteReference w:id="11"/>
      </w:r>
      <w:r w:rsidR="00090E39">
        <w:rPr>
          <w:rFonts w:ascii="Times New Roman" w:eastAsia="Times New Roman" w:hAnsi="Times New Roman" w:cs="Times New Roman"/>
          <w:color w:val="000000"/>
          <w:sz w:val="24"/>
          <w:szCs w:val="24"/>
        </w:rPr>
        <w:t xml:space="preserve"> </w:t>
      </w:r>
      <w:r w:rsidR="002A637E">
        <w:rPr>
          <w:rFonts w:ascii="Times New Roman" w:eastAsia="Times New Roman" w:hAnsi="Times New Roman" w:cs="Times New Roman"/>
          <w:color w:val="000000"/>
          <w:sz w:val="24"/>
          <w:szCs w:val="24"/>
        </w:rPr>
        <w:t xml:space="preserve">For instance, </w:t>
      </w:r>
      <w:r w:rsidR="00996BB2">
        <w:rPr>
          <w:rFonts w:ascii="Times New Roman" w:eastAsia="Times New Roman" w:hAnsi="Times New Roman" w:cs="Times New Roman"/>
          <w:color w:val="000000"/>
          <w:sz w:val="24"/>
          <w:szCs w:val="24"/>
        </w:rPr>
        <w:t>the first simulation</w:t>
      </w:r>
      <w:r w:rsidR="002A637E">
        <w:rPr>
          <w:rFonts w:ascii="Times New Roman" w:eastAsia="Times New Roman" w:hAnsi="Times New Roman" w:cs="Times New Roman"/>
          <w:color w:val="000000"/>
          <w:sz w:val="24"/>
          <w:szCs w:val="24"/>
        </w:rPr>
        <w:t xml:space="preserve"> raises the BA completion rate from 45</w:t>
      </w:r>
      <w:r w:rsidR="007F314F">
        <w:rPr>
          <w:rFonts w:ascii="Times New Roman" w:eastAsia="Times New Roman" w:hAnsi="Times New Roman" w:cs="Times New Roman"/>
          <w:color w:val="000000"/>
          <w:sz w:val="24"/>
          <w:szCs w:val="24"/>
        </w:rPr>
        <w:t>.1</w:t>
      </w:r>
      <w:r w:rsidR="002A637E">
        <w:rPr>
          <w:rFonts w:ascii="Times New Roman" w:eastAsia="Times New Roman" w:hAnsi="Times New Roman" w:cs="Times New Roman"/>
          <w:color w:val="000000"/>
          <w:sz w:val="24"/>
          <w:szCs w:val="24"/>
        </w:rPr>
        <w:t xml:space="preserve"> to 50</w:t>
      </w:r>
      <w:r w:rsidR="007F314F">
        <w:rPr>
          <w:rFonts w:ascii="Times New Roman" w:eastAsia="Times New Roman" w:hAnsi="Times New Roman" w:cs="Times New Roman"/>
          <w:color w:val="000000"/>
          <w:sz w:val="24"/>
          <w:szCs w:val="24"/>
        </w:rPr>
        <w:t>.</w:t>
      </w:r>
      <w:r w:rsidR="00366A4B">
        <w:rPr>
          <w:rFonts w:ascii="Times New Roman" w:eastAsia="Times New Roman" w:hAnsi="Times New Roman" w:cs="Times New Roman"/>
          <w:color w:val="000000"/>
          <w:sz w:val="24"/>
          <w:szCs w:val="24"/>
        </w:rPr>
        <w:t xml:space="preserve">3 </w:t>
      </w:r>
      <w:r w:rsidR="00996BB2">
        <w:rPr>
          <w:rFonts w:ascii="Times New Roman" w:eastAsia="Times New Roman" w:hAnsi="Times New Roman" w:cs="Times New Roman"/>
          <w:color w:val="000000"/>
          <w:sz w:val="24"/>
          <w:szCs w:val="24"/>
        </w:rPr>
        <w:t>percent</w:t>
      </w:r>
      <w:r w:rsidR="002A637E">
        <w:rPr>
          <w:rFonts w:ascii="Times New Roman" w:eastAsia="Times New Roman" w:hAnsi="Times New Roman" w:cs="Times New Roman"/>
          <w:color w:val="000000"/>
          <w:sz w:val="24"/>
          <w:szCs w:val="24"/>
        </w:rPr>
        <w:t xml:space="preserve"> for our FTFY sample</w:t>
      </w:r>
      <w:r w:rsidR="00996BB2">
        <w:rPr>
          <w:rFonts w:ascii="Times New Roman" w:eastAsia="Times New Roman" w:hAnsi="Times New Roman" w:cs="Times New Roman"/>
          <w:color w:val="000000"/>
          <w:sz w:val="24"/>
          <w:szCs w:val="24"/>
        </w:rPr>
        <w:t xml:space="preserve"> (group </w:t>
      </w:r>
      <w:proofErr w:type="gramStart"/>
      <w:r w:rsidR="00996BB2">
        <w:rPr>
          <w:rFonts w:ascii="Times New Roman" w:eastAsia="Times New Roman" w:hAnsi="Times New Roman" w:cs="Times New Roman"/>
          <w:color w:val="000000"/>
          <w:sz w:val="24"/>
          <w:szCs w:val="24"/>
        </w:rPr>
        <w:t>A</w:t>
      </w:r>
      <w:proofErr w:type="gramEnd"/>
      <w:r w:rsidR="00996BB2">
        <w:rPr>
          <w:rFonts w:ascii="Times New Roman" w:eastAsia="Times New Roman" w:hAnsi="Times New Roman" w:cs="Times New Roman"/>
          <w:color w:val="000000"/>
          <w:sz w:val="24"/>
          <w:szCs w:val="24"/>
        </w:rPr>
        <w:t xml:space="preserve"> in Table 2</w:t>
      </w:r>
      <w:r w:rsidR="00996BB2" w:rsidRPr="00EE6393">
        <w:rPr>
          <w:rFonts w:ascii="Times New Roman" w:eastAsia="Times New Roman" w:hAnsi="Times New Roman" w:cs="Times New Roman"/>
          <w:color w:val="000000"/>
          <w:sz w:val="24"/>
          <w:szCs w:val="24"/>
        </w:rPr>
        <w:t>)</w:t>
      </w:r>
      <w:r w:rsidR="002A637E" w:rsidRPr="00EE6393">
        <w:rPr>
          <w:rFonts w:ascii="Times New Roman" w:eastAsia="Times New Roman" w:hAnsi="Times New Roman" w:cs="Times New Roman"/>
          <w:color w:val="000000"/>
          <w:sz w:val="24"/>
          <w:szCs w:val="24"/>
        </w:rPr>
        <w:t xml:space="preserve">. </w:t>
      </w:r>
      <w:proofErr w:type="gramStart"/>
      <w:r w:rsidR="00BD7541">
        <w:rPr>
          <w:rFonts w:ascii="Times New Roman" w:eastAsia="Times New Roman" w:hAnsi="Times New Roman" w:cs="Times New Roman"/>
          <w:color w:val="000000"/>
          <w:sz w:val="24"/>
          <w:szCs w:val="24"/>
        </w:rPr>
        <w:t xml:space="preserve">In terms of relative supply effects in the labor market, </w:t>
      </w:r>
      <w:r w:rsidR="00BD7541" w:rsidRPr="009D342F">
        <w:rPr>
          <w:rFonts w:ascii="Times New Roman" w:eastAsia="Times New Roman" w:hAnsi="Times New Roman" w:cs="Times New Roman"/>
          <w:color w:val="000000"/>
          <w:sz w:val="24"/>
          <w:szCs w:val="24"/>
        </w:rPr>
        <w:t>considering all adults</w:t>
      </w:r>
      <w:r w:rsidR="00BD7541">
        <w:rPr>
          <w:rFonts w:ascii="Times New Roman" w:eastAsia="Times New Roman" w:hAnsi="Times New Roman" w:cs="Times New Roman"/>
          <w:color w:val="000000"/>
          <w:sz w:val="24"/>
          <w:szCs w:val="24"/>
        </w:rPr>
        <w:t xml:space="preserve"> (not just FTFY or prime-age)</w:t>
      </w:r>
      <w:r w:rsidR="00BD7541" w:rsidRPr="009D342F">
        <w:rPr>
          <w:rFonts w:ascii="Times New Roman" w:eastAsia="Times New Roman" w:hAnsi="Times New Roman" w:cs="Times New Roman"/>
          <w:color w:val="000000"/>
          <w:sz w:val="24"/>
          <w:szCs w:val="24"/>
        </w:rPr>
        <w:t xml:space="preserve"> </w:t>
      </w:r>
      <w:r w:rsidR="00E84B63" w:rsidRPr="009D342F">
        <w:rPr>
          <w:rFonts w:ascii="Times New Roman" w:eastAsia="Times New Roman" w:hAnsi="Times New Roman" w:cs="Times New Roman"/>
          <w:color w:val="000000"/>
          <w:sz w:val="24"/>
          <w:szCs w:val="24"/>
        </w:rPr>
        <w:t>and weighting each individual by their hours worked last year, this amounts to a change from 4</w:t>
      </w:r>
      <w:r w:rsidR="00075998">
        <w:rPr>
          <w:rFonts w:ascii="Times New Roman" w:eastAsia="Times New Roman" w:hAnsi="Times New Roman" w:cs="Times New Roman"/>
          <w:color w:val="000000"/>
          <w:sz w:val="24"/>
          <w:szCs w:val="24"/>
        </w:rPr>
        <w:t>1</w:t>
      </w:r>
      <w:r w:rsidR="00E84B63" w:rsidRPr="009D342F">
        <w:rPr>
          <w:rFonts w:ascii="Times New Roman" w:eastAsia="Times New Roman" w:hAnsi="Times New Roman" w:cs="Times New Roman"/>
          <w:color w:val="000000"/>
          <w:sz w:val="24"/>
          <w:szCs w:val="24"/>
        </w:rPr>
        <w:t>.5 to 4</w:t>
      </w:r>
      <w:r w:rsidR="00075998">
        <w:rPr>
          <w:rFonts w:ascii="Times New Roman" w:eastAsia="Times New Roman" w:hAnsi="Times New Roman" w:cs="Times New Roman"/>
          <w:color w:val="000000"/>
          <w:sz w:val="24"/>
          <w:szCs w:val="24"/>
        </w:rPr>
        <w:t>4</w:t>
      </w:r>
      <w:r w:rsidR="00E84B63" w:rsidRPr="009D342F">
        <w:rPr>
          <w:rFonts w:ascii="Times New Roman" w:eastAsia="Times New Roman" w:hAnsi="Times New Roman" w:cs="Times New Roman"/>
          <w:color w:val="000000"/>
          <w:sz w:val="24"/>
          <w:szCs w:val="24"/>
        </w:rPr>
        <w:t>.</w:t>
      </w:r>
      <w:r w:rsidR="00075998">
        <w:rPr>
          <w:rFonts w:ascii="Times New Roman" w:eastAsia="Times New Roman" w:hAnsi="Times New Roman" w:cs="Times New Roman"/>
          <w:color w:val="000000"/>
          <w:sz w:val="24"/>
          <w:szCs w:val="24"/>
        </w:rPr>
        <w:t>7</w:t>
      </w:r>
      <w:r w:rsidR="00E84B63" w:rsidRPr="009D342F">
        <w:rPr>
          <w:rFonts w:ascii="Times New Roman" w:eastAsia="Times New Roman" w:hAnsi="Times New Roman" w:cs="Times New Roman"/>
          <w:color w:val="000000"/>
          <w:sz w:val="24"/>
          <w:szCs w:val="24"/>
        </w:rPr>
        <w:t xml:space="preserve"> percent, which is roughly a </w:t>
      </w:r>
      <w:r w:rsidR="00075998">
        <w:rPr>
          <w:rFonts w:ascii="Times New Roman" w:eastAsia="Times New Roman" w:hAnsi="Times New Roman" w:cs="Times New Roman"/>
          <w:color w:val="000000"/>
          <w:sz w:val="24"/>
          <w:szCs w:val="24"/>
        </w:rPr>
        <w:t>14</w:t>
      </w:r>
      <w:r w:rsidR="00E84B63" w:rsidRPr="009D342F">
        <w:rPr>
          <w:rFonts w:ascii="Times New Roman" w:eastAsia="Times New Roman" w:hAnsi="Times New Roman" w:cs="Times New Roman"/>
          <w:color w:val="000000"/>
          <w:sz w:val="24"/>
          <w:szCs w:val="24"/>
        </w:rPr>
        <w:t xml:space="preserve"> percent increase in the hours-weighted relative supply of BA to non-BA</w:t>
      </w:r>
      <w:r w:rsidR="006B0E60">
        <w:rPr>
          <w:rFonts w:ascii="Times New Roman" w:eastAsia="Times New Roman" w:hAnsi="Times New Roman" w:cs="Times New Roman"/>
          <w:color w:val="000000"/>
          <w:sz w:val="24"/>
          <w:szCs w:val="24"/>
        </w:rPr>
        <w:t xml:space="preserve"> labor</w:t>
      </w:r>
      <w:r w:rsidR="00E84B63" w:rsidRPr="009D342F">
        <w:rPr>
          <w:rFonts w:ascii="Times New Roman" w:eastAsia="Times New Roman" w:hAnsi="Times New Roman" w:cs="Times New Roman"/>
          <w:color w:val="000000"/>
          <w:sz w:val="24"/>
          <w:szCs w:val="24"/>
        </w:rPr>
        <w:t xml:space="preserve"> [0.4</w:t>
      </w:r>
      <w:r w:rsidR="00075998">
        <w:rPr>
          <w:rFonts w:ascii="Times New Roman" w:eastAsia="Times New Roman" w:hAnsi="Times New Roman" w:cs="Times New Roman"/>
          <w:color w:val="000000"/>
          <w:sz w:val="24"/>
          <w:szCs w:val="24"/>
        </w:rPr>
        <w:t>15</w:t>
      </w:r>
      <w:r w:rsidR="00E84B63" w:rsidRPr="009D342F">
        <w:rPr>
          <w:rFonts w:ascii="Times New Roman" w:eastAsia="Times New Roman" w:hAnsi="Times New Roman" w:cs="Times New Roman"/>
          <w:color w:val="000000"/>
          <w:sz w:val="24"/>
          <w:szCs w:val="24"/>
        </w:rPr>
        <w:t>/(1</w:t>
      </w:r>
      <w:r w:rsidR="00A03402">
        <w:rPr>
          <w:rFonts w:ascii="Times New Roman" w:eastAsia="Times New Roman" w:hAnsi="Times New Roman" w:cs="Times New Roman"/>
          <w:color w:val="000000"/>
          <w:sz w:val="24"/>
          <w:szCs w:val="24"/>
        </w:rPr>
        <w:sym w:font="Symbol" w:char="F02D"/>
      </w:r>
      <w:r w:rsidR="00E84B63" w:rsidRPr="009D342F">
        <w:rPr>
          <w:rFonts w:ascii="Times New Roman" w:eastAsia="Times New Roman" w:hAnsi="Times New Roman" w:cs="Times New Roman"/>
          <w:color w:val="000000"/>
          <w:sz w:val="24"/>
          <w:szCs w:val="24"/>
        </w:rPr>
        <w:t>0.4</w:t>
      </w:r>
      <w:r w:rsidR="00075998">
        <w:rPr>
          <w:rFonts w:ascii="Times New Roman" w:eastAsia="Times New Roman" w:hAnsi="Times New Roman" w:cs="Times New Roman"/>
          <w:color w:val="000000"/>
          <w:sz w:val="24"/>
          <w:szCs w:val="24"/>
        </w:rPr>
        <w:t>15</w:t>
      </w:r>
      <w:r w:rsidR="00E84B63" w:rsidRPr="009D342F">
        <w:rPr>
          <w:rFonts w:ascii="Times New Roman" w:eastAsia="Times New Roman" w:hAnsi="Times New Roman" w:cs="Times New Roman"/>
          <w:color w:val="000000"/>
          <w:sz w:val="24"/>
          <w:szCs w:val="24"/>
        </w:rPr>
        <w:t>) = 0.</w:t>
      </w:r>
      <w:r w:rsidR="00075998">
        <w:rPr>
          <w:rFonts w:ascii="Times New Roman" w:eastAsia="Times New Roman" w:hAnsi="Times New Roman" w:cs="Times New Roman"/>
          <w:color w:val="000000"/>
          <w:sz w:val="24"/>
          <w:szCs w:val="24"/>
        </w:rPr>
        <w:t>708</w:t>
      </w:r>
      <w:r w:rsidR="00E84B63" w:rsidRPr="009D342F">
        <w:rPr>
          <w:rFonts w:ascii="Times New Roman" w:eastAsia="Times New Roman" w:hAnsi="Times New Roman" w:cs="Times New Roman"/>
          <w:color w:val="000000"/>
          <w:sz w:val="24"/>
          <w:szCs w:val="24"/>
        </w:rPr>
        <w:t>; 0.4</w:t>
      </w:r>
      <w:r w:rsidR="00075998">
        <w:rPr>
          <w:rFonts w:ascii="Times New Roman" w:eastAsia="Times New Roman" w:hAnsi="Times New Roman" w:cs="Times New Roman"/>
          <w:color w:val="000000"/>
          <w:sz w:val="24"/>
          <w:szCs w:val="24"/>
        </w:rPr>
        <w:t>47</w:t>
      </w:r>
      <w:r w:rsidR="00E84B63" w:rsidRPr="009D342F">
        <w:rPr>
          <w:rFonts w:ascii="Times New Roman" w:eastAsia="Times New Roman" w:hAnsi="Times New Roman" w:cs="Times New Roman"/>
          <w:color w:val="000000"/>
          <w:sz w:val="24"/>
          <w:szCs w:val="24"/>
        </w:rPr>
        <w:t>/(1</w:t>
      </w:r>
      <w:r w:rsidR="00A03402">
        <w:rPr>
          <w:rFonts w:ascii="Times New Roman" w:eastAsia="Times New Roman" w:hAnsi="Times New Roman" w:cs="Times New Roman"/>
          <w:color w:val="000000"/>
          <w:sz w:val="24"/>
          <w:szCs w:val="24"/>
        </w:rPr>
        <w:sym w:font="Symbol" w:char="F02D"/>
      </w:r>
      <w:r w:rsidR="00E84B63" w:rsidRPr="009D342F">
        <w:rPr>
          <w:rFonts w:ascii="Times New Roman" w:eastAsia="Times New Roman" w:hAnsi="Times New Roman" w:cs="Times New Roman"/>
          <w:color w:val="000000"/>
          <w:sz w:val="24"/>
          <w:szCs w:val="24"/>
        </w:rPr>
        <w:t>0.4</w:t>
      </w:r>
      <w:r w:rsidR="00075998">
        <w:rPr>
          <w:rFonts w:ascii="Times New Roman" w:eastAsia="Times New Roman" w:hAnsi="Times New Roman" w:cs="Times New Roman"/>
          <w:color w:val="000000"/>
          <w:sz w:val="24"/>
          <w:szCs w:val="24"/>
        </w:rPr>
        <w:t>47</w:t>
      </w:r>
      <w:r w:rsidR="00E84B63" w:rsidRPr="009D342F">
        <w:rPr>
          <w:rFonts w:ascii="Times New Roman" w:eastAsia="Times New Roman" w:hAnsi="Times New Roman" w:cs="Times New Roman"/>
          <w:color w:val="000000"/>
          <w:sz w:val="24"/>
          <w:szCs w:val="24"/>
        </w:rPr>
        <w:t>) = 0.</w:t>
      </w:r>
      <w:r w:rsidR="00075998">
        <w:rPr>
          <w:rFonts w:ascii="Times New Roman" w:eastAsia="Times New Roman" w:hAnsi="Times New Roman" w:cs="Times New Roman"/>
          <w:color w:val="000000"/>
          <w:sz w:val="24"/>
          <w:szCs w:val="24"/>
        </w:rPr>
        <w:t>808</w:t>
      </w:r>
      <w:r w:rsidR="00E84B63" w:rsidRPr="009D342F">
        <w:rPr>
          <w:rFonts w:ascii="Times New Roman" w:eastAsia="Times New Roman" w:hAnsi="Times New Roman" w:cs="Times New Roman"/>
          <w:color w:val="000000"/>
          <w:sz w:val="24"/>
          <w:szCs w:val="24"/>
        </w:rPr>
        <w:t>; 0.</w:t>
      </w:r>
      <w:r w:rsidR="00075998">
        <w:rPr>
          <w:rFonts w:ascii="Times New Roman" w:eastAsia="Times New Roman" w:hAnsi="Times New Roman" w:cs="Times New Roman"/>
          <w:color w:val="000000"/>
          <w:sz w:val="24"/>
          <w:szCs w:val="24"/>
        </w:rPr>
        <w:t>808</w:t>
      </w:r>
      <w:r w:rsidR="00E84B63" w:rsidRPr="009D342F">
        <w:rPr>
          <w:rFonts w:ascii="Times New Roman" w:eastAsia="Times New Roman" w:hAnsi="Times New Roman" w:cs="Times New Roman"/>
          <w:color w:val="000000"/>
          <w:sz w:val="24"/>
          <w:szCs w:val="24"/>
        </w:rPr>
        <w:t>/0.</w:t>
      </w:r>
      <w:r w:rsidR="007D1862">
        <w:rPr>
          <w:rFonts w:ascii="Times New Roman" w:eastAsia="Times New Roman" w:hAnsi="Times New Roman" w:cs="Times New Roman"/>
          <w:color w:val="000000"/>
          <w:sz w:val="24"/>
          <w:szCs w:val="24"/>
        </w:rPr>
        <w:t>708</w:t>
      </w:r>
      <w:r w:rsidR="00E84B63" w:rsidRPr="009D342F">
        <w:rPr>
          <w:rFonts w:ascii="Times New Roman" w:eastAsia="Times New Roman" w:hAnsi="Times New Roman" w:cs="Times New Roman"/>
          <w:color w:val="000000"/>
          <w:sz w:val="24"/>
          <w:szCs w:val="24"/>
        </w:rPr>
        <w:t xml:space="preserve"> = 1.</w:t>
      </w:r>
      <w:r w:rsidR="007D1862">
        <w:rPr>
          <w:rFonts w:ascii="Times New Roman" w:eastAsia="Times New Roman" w:hAnsi="Times New Roman" w:cs="Times New Roman"/>
          <w:color w:val="000000"/>
          <w:sz w:val="24"/>
          <w:szCs w:val="24"/>
        </w:rPr>
        <w:t>141</w:t>
      </w:r>
      <w:r w:rsidR="00E84B63" w:rsidRPr="009D342F">
        <w:rPr>
          <w:rFonts w:ascii="Times New Roman" w:eastAsia="Times New Roman" w:hAnsi="Times New Roman" w:cs="Times New Roman"/>
          <w:color w:val="000000"/>
          <w:sz w:val="24"/>
          <w:szCs w:val="24"/>
        </w:rPr>
        <w:t>].</w:t>
      </w:r>
      <w:proofErr w:type="gramEnd"/>
      <w:r w:rsidR="00E84B63" w:rsidRPr="009D342F">
        <w:rPr>
          <w:rFonts w:ascii="Times New Roman" w:eastAsia="Times New Roman" w:hAnsi="Times New Roman" w:cs="Times New Roman"/>
          <w:color w:val="000000"/>
          <w:sz w:val="24"/>
          <w:szCs w:val="24"/>
        </w:rPr>
        <w:t xml:space="preserve"> Thus, ou</w:t>
      </w:r>
      <w:r w:rsidR="004516C7">
        <w:rPr>
          <w:rFonts w:ascii="Times New Roman" w:eastAsia="Times New Roman" w:hAnsi="Times New Roman" w:cs="Times New Roman"/>
          <w:color w:val="000000"/>
          <w:sz w:val="24"/>
          <w:szCs w:val="24"/>
        </w:rPr>
        <w:t>r simulation adjusts for a 0.</w:t>
      </w:r>
      <w:r w:rsidR="007D1862">
        <w:rPr>
          <w:rFonts w:ascii="Times New Roman" w:eastAsia="Times New Roman" w:hAnsi="Times New Roman" w:cs="Times New Roman"/>
          <w:color w:val="000000"/>
          <w:sz w:val="24"/>
          <w:szCs w:val="24"/>
        </w:rPr>
        <w:t>14</w:t>
      </w:r>
      <w:r w:rsidR="00A03402">
        <w:rPr>
          <w:rFonts w:ascii="Times New Roman" w:eastAsia="Times New Roman" w:hAnsi="Times New Roman" w:cs="Times New Roman"/>
          <w:color w:val="000000"/>
          <w:sz w:val="24"/>
          <w:szCs w:val="24"/>
        </w:rPr>
        <w:t xml:space="preserve"> </w:t>
      </w:r>
      <w:r w:rsidR="004516C7">
        <w:rPr>
          <w:rFonts w:ascii="Times New Roman" w:eastAsia="Times New Roman" w:hAnsi="Times New Roman" w:cs="Times New Roman"/>
          <w:color w:val="000000"/>
          <w:sz w:val="24"/>
          <w:szCs w:val="24"/>
        </w:rPr>
        <w:t>*</w:t>
      </w:r>
      <w:r w:rsidR="00A03402">
        <w:rPr>
          <w:rFonts w:ascii="Times New Roman" w:eastAsia="Times New Roman" w:hAnsi="Times New Roman" w:cs="Times New Roman"/>
          <w:color w:val="000000"/>
          <w:sz w:val="24"/>
          <w:szCs w:val="24"/>
        </w:rPr>
        <w:t xml:space="preserve"> </w:t>
      </w:r>
      <w:r w:rsidR="00E84B63" w:rsidRPr="009D342F">
        <w:rPr>
          <w:rFonts w:ascii="Times New Roman" w:eastAsia="Times New Roman" w:hAnsi="Times New Roman" w:cs="Times New Roman"/>
          <w:color w:val="000000"/>
          <w:sz w:val="24"/>
          <w:szCs w:val="24"/>
        </w:rPr>
        <w:t>0.2</w:t>
      </w:r>
      <w:r w:rsidR="00440E71">
        <w:rPr>
          <w:rFonts w:ascii="Times New Roman" w:eastAsia="Times New Roman" w:hAnsi="Times New Roman" w:cs="Times New Roman"/>
          <w:color w:val="000000"/>
          <w:sz w:val="24"/>
          <w:szCs w:val="24"/>
        </w:rPr>
        <w:t>5</w:t>
      </w:r>
      <w:r w:rsidR="00A03402">
        <w:rPr>
          <w:rFonts w:ascii="Times New Roman" w:eastAsia="Times New Roman" w:hAnsi="Times New Roman" w:cs="Times New Roman"/>
          <w:color w:val="000000"/>
          <w:sz w:val="24"/>
          <w:szCs w:val="24"/>
        </w:rPr>
        <w:t xml:space="preserve"> </w:t>
      </w:r>
      <w:r w:rsidR="004516C7" w:rsidRPr="00EE6393">
        <w:rPr>
          <w:rFonts w:ascii="Times New Roman" w:eastAsia="Times New Roman" w:hAnsi="Times New Roman" w:cs="Times New Roman"/>
          <w:color w:val="000000"/>
          <w:sz w:val="24"/>
          <w:szCs w:val="24"/>
        </w:rPr>
        <w:sym w:font="Symbol" w:char="F0BB"/>
      </w:r>
      <w:r w:rsidR="00E84B63" w:rsidRPr="009D342F">
        <w:rPr>
          <w:rFonts w:ascii="Times New Roman" w:eastAsia="Times New Roman" w:hAnsi="Times New Roman" w:cs="Times New Roman"/>
          <w:color w:val="000000"/>
          <w:sz w:val="24"/>
          <w:szCs w:val="24"/>
        </w:rPr>
        <w:t> </w:t>
      </w:r>
      <w:r w:rsidR="007D1862">
        <w:rPr>
          <w:rFonts w:ascii="Times New Roman" w:eastAsia="Times New Roman" w:hAnsi="Times New Roman" w:cs="Times New Roman"/>
          <w:color w:val="000000"/>
          <w:sz w:val="24"/>
          <w:szCs w:val="24"/>
        </w:rPr>
        <w:t>4</w:t>
      </w:r>
      <w:r w:rsidR="00E84B63" w:rsidRPr="009D342F">
        <w:rPr>
          <w:rFonts w:ascii="Times New Roman" w:eastAsia="Times New Roman" w:hAnsi="Times New Roman" w:cs="Times New Roman"/>
          <w:color w:val="000000"/>
          <w:sz w:val="24"/>
          <w:szCs w:val="24"/>
        </w:rPr>
        <w:t xml:space="preserve"> percent narrowing of the wage premium</w:t>
      </w:r>
      <w:r w:rsidR="009D342F" w:rsidRPr="009D342F">
        <w:rPr>
          <w:rFonts w:ascii="Times New Roman" w:eastAsia="Times New Roman" w:hAnsi="Times New Roman" w:cs="Times New Roman"/>
          <w:color w:val="000000"/>
          <w:sz w:val="24"/>
          <w:szCs w:val="24"/>
        </w:rPr>
        <w:t xml:space="preserve">. </w:t>
      </w:r>
      <w:r w:rsidR="00334A07" w:rsidRPr="00EE6393">
        <w:rPr>
          <w:rFonts w:ascii="Times New Roman" w:eastAsia="Times New Roman" w:hAnsi="Times New Roman" w:cs="Times New Roman"/>
          <w:color w:val="000000"/>
          <w:sz w:val="24"/>
          <w:szCs w:val="24"/>
        </w:rPr>
        <w:t>This narrowing is assumed to fall equally on each group, raising non-</w:t>
      </w:r>
      <w:r w:rsidR="00EB617C">
        <w:rPr>
          <w:rFonts w:ascii="Times New Roman" w:eastAsia="Times New Roman" w:hAnsi="Times New Roman" w:cs="Times New Roman"/>
          <w:color w:val="000000"/>
          <w:sz w:val="24"/>
          <w:szCs w:val="24"/>
        </w:rPr>
        <w:t>BA</w:t>
      </w:r>
      <w:r w:rsidR="00334A07" w:rsidRPr="00EE6393">
        <w:rPr>
          <w:rFonts w:ascii="Times New Roman" w:eastAsia="Times New Roman" w:hAnsi="Times New Roman" w:cs="Times New Roman"/>
          <w:color w:val="000000"/>
          <w:sz w:val="24"/>
          <w:szCs w:val="24"/>
        </w:rPr>
        <w:t xml:space="preserve"> earnings by </w:t>
      </w:r>
      <w:r w:rsidR="007D1862">
        <w:rPr>
          <w:rFonts w:ascii="Times New Roman" w:eastAsia="Times New Roman" w:hAnsi="Times New Roman" w:cs="Times New Roman"/>
          <w:color w:val="000000"/>
          <w:sz w:val="24"/>
          <w:szCs w:val="24"/>
        </w:rPr>
        <w:t>2</w:t>
      </w:r>
      <w:r w:rsidR="00077ED4" w:rsidRPr="00EE6393">
        <w:rPr>
          <w:rFonts w:ascii="Times New Roman" w:eastAsia="Times New Roman" w:hAnsi="Times New Roman" w:cs="Times New Roman"/>
          <w:color w:val="000000"/>
          <w:sz w:val="24"/>
          <w:szCs w:val="24"/>
        </w:rPr>
        <w:t xml:space="preserve"> percent</w:t>
      </w:r>
      <w:r w:rsidR="00334A07" w:rsidRPr="00EE6393">
        <w:rPr>
          <w:rFonts w:ascii="Times New Roman" w:eastAsia="Times New Roman" w:hAnsi="Times New Roman" w:cs="Times New Roman"/>
          <w:color w:val="000000"/>
          <w:sz w:val="24"/>
          <w:szCs w:val="24"/>
        </w:rPr>
        <w:t xml:space="preserve"> and lowering </w:t>
      </w:r>
      <w:r w:rsidR="00EB617C">
        <w:rPr>
          <w:rFonts w:ascii="Times New Roman" w:eastAsia="Times New Roman" w:hAnsi="Times New Roman" w:cs="Times New Roman"/>
          <w:color w:val="000000"/>
          <w:sz w:val="24"/>
          <w:szCs w:val="24"/>
        </w:rPr>
        <w:t>BA</w:t>
      </w:r>
      <w:r w:rsidR="00334A07" w:rsidRPr="00EE6393">
        <w:rPr>
          <w:rFonts w:ascii="Times New Roman" w:eastAsia="Times New Roman" w:hAnsi="Times New Roman" w:cs="Times New Roman"/>
          <w:color w:val="000000"/>
          <w:sz w:val="24"/>
          <w:szCs w:val="24"/>
        </w:rPr>
        <w:t xml:space="preserve"> earnings </w:t>
      </w:r>
      <w:r w:rsidR="00EB617C">
        <w:rPr>
          <w:rFonts w:ascii="Times New Roman" w:eastAsia="Times New Roman" w:hAnsi="Times New Roman" w:cs="Times New Roman"/>
          <w:color w:val="000000"/>
          <w:sz w:val="24"/>
          <w:szCs w:val="24"/>
        </w:rPr>
        <w:t xml:space="preserve">(including BA-plus) </w:t>
      </w:r>
      <w:r w:rsidR="00334A07" w:rsidRPr="00EE6393">
        <w:rPr>
          <w:rFonts w:ascii="Times New Roman" w:eastAsia="Times New Roman" w:hAnsi="Times New Roman" w:cs="Times New Roman"/>
          <w:color w:val="000000"/>
          <w:sz w:val="24"/>
          <w:szCs w:val="24"/>
        </w:rPr>
        <w:t xml:space="preserve">by </w:t>
      </w:r>
      <w:r w:rsidR="007D1862">
        <w:rPr>
          <w:rFonts w:ascii="Times New Roman" w:eastAsia="Times New Roman" w:hAnsi="Times New Roman" w:cs="Times New Roman"/>
          <w:color w:val="000000"/>
          <w:sz w:val="24"/>
          <w:szCs w:val="24"/>
        </w:rPr>
        <w:t>2</w:t>
      </w:r>
      <w:r w:rsidR="00077ED4" w:rsidRPr="00EE6393">
        <w:rPr>
          <w:rFonts w:ascii="Times New Roman" w:eastAsia="Times New Roman" w:hAnsi="Times New Roman" w:cs="Times New Roman"/>
          <w:color w:val="000000"/>
          <w:sz w:val="24"/>
          <w:szCs w:val="24"/>
        </w:rPr>
        <w:t xml:space="preserve"> percent</w:t>
      </w:r>
      <w:r w:rsidR="00334A07" w:rsidRPr="00EE6393">
        <w:rPr>
          <w:rFonts w:ascii="Times New Roman" w:eastAsia="Times New Roman" w:hAnsi="Times New Roman" w:cs="Times New Roman"/>
          <w:color w:val="000000"/>
          <w:sz w:val="24"/>
          <w:szCs w:val="24"/>
        </w:rPr>
        <w:t xml:space="preserve">. </w:t>
      </w:r>
      <w:r w:rsidR="00C27D76" w:rsidRPr="00EE6393">
        <w:rPr>
          <w:rFonts w:ascii="Times New Roman" w:eastAsia="Times New Roman" w:hAnsi="Times New Roman" w:cs="Times New Roman"/>
          <w:color w:val="000000"/>
          <w:sz w:val="24"/>
          <w:szCs w:val="24"/>
        </w:rPr>
        <w:t xml:space="preserve">Because we draw from the pool of high school graduates to assign college degrees, </w:t>
      </w:r>
      <w:r w:rsidR="00C27D76" w:rsidRPr="00440E71">
        <w:rPr>
          <w:rFonts w:ascii="Times New Roman" w:eastAsia="Times New Roman" w:hAnsi="Times New Roman" w:cs="Times New Roman"/>
          <w:color w:val="000000"/>
          <w:sz w:val="24"/>
          <w:szCs w:val="24"/>
        </w:rPr>
        <w:t xml:space="preserve">the relative supply of </w:t>
      </w:r>
      <w:r w:rsidR="00FF2FE4" w:rsidRPr="00440E71">
        <w:rPr>
          <w:rFonts w:ascii="Times New Roman" w:eastAsia="Times New Roman" w:hAnsi="Times New Roman" w:cs="Times New Roman"/>
          <w:color w:val="000000"/>
          <w:sz w:val="24"/>
          <w:szCs w:val="24"/>
        </w:rPr>
        <w:t xml:space="preserve">associate degree holders and high school graduates also changes for the first simulation, with this ratio </w:t>
      </w:r>
      <w:r w:rsidR="00C27D76" w:rsidRPr="00440E71">
        <w:rPr>
          <w:rFonts w:ascii="Times New Roman" w:eastAsia="Times New Roman" w:hAnsi="Times New Roman" w:cs="Times New Roman"/>
          <w:color w:val="000000"/>
          <w:sz w:val="24"/>
          <w:szCs w:val="24"/>
        </w:rPr>
        <w:t>increas</w:t>
      </w:r>
      <w:r w:rsidR="00FF2FE4" w:rsidRPr="00440E71">
        <w:rPr>
          <w:rFonts w:ascii="Times New Roman" w:eastAsia="Times New Roman" w:hAnsi="Times New Roman" w:cs="Times New Roman"/>
          <w:color w:val="000000"/>
          <w:sz w:val="24"/>
          <w:szCs w:val="24"/>
        </w:rPr>
        <w:t>ing</w:t>
      </w:r>
      <w:r w:rsidR="00C27D76" w:rsidRPr="00EE6393">
        <w:rPr>
          <w:rFonts w:ascii="Times New Roman" w:eastAsia="Times New Roman" w:hAnsi="Times New Roman" w:cs="Times New Roman"/>
          <w:color w:val="000000"/>
          <w:sz w:val="24"/>
          <w:szCs w:val="24"/>
        </w:rPr>
        <w:t xml:space="preserve"> by </w:t>
      </w:r>
      <w:r w:rsidR="007D1862">
        <w:rPr>
          <w:rFonts w:ascii="Times New Roman" w:eastAsia="Times New Roman" w:hAnsi="Times New Roman" w:cs="Times New Roman"/>
          <w:color w:val="000000"/>
          <w:sz w:val="24"/>
          <w:szCs w:val="24"/>
        </w:rPr>
        <w:t>7</w:t>
      </w:r>
      <w:r w:rsidR="00FF2FE4" w:rsidRPr="00EE6393">
        <w:rPr>
          <w:rFonts w:ascii="Times New Roman" w:eastAsia="Times New Roman" w:hAnsi="Times New Roman" w:cs="Times New Roman"/>
          <w:color w:val="000000"/>
          <w:sz w:val="24"/>
          <w:szCs w:val="24"/>
        </w:rPr>
        <w:t xml:space="preserve"> percent</w:t>
      </w:r>
      <w:r w:rsidR="00C27D76" w:rsidRPr="00EE6393">
        <w:rPr>
          <w:rFonts w:ascii="Times New Roman" w:eastAsia="Times New Roman" w:hAnsi="Times New Roman" w:cs="Times New Roman"/>
          <w:color w:val="000000"/>
          <w:sz w:val="24"/>
          <w:szCs w:val="24"/>
        </w:rPr>
        <w:t xml:space="preserve">, leading to a </w:t>
      </w:r>
      <w:r w:rsidR="00FF2FE4" w:rsidRPr="00EE6393">
        <w:rPr>
          <w:rFonts w:ascii="Times New Roman" w:eastAsia="Times New Roman" w:hAnsi="Times New Roman" w:cs="Times New Roman"/>
          <w:color w:val="000000"/>
          <w:sz w:val="24"/>
          <w:szCs w:val="24"/>
        </w:rPr>
        <w:t>0.</w:t>
      </w:r>
      <w:r w:rsidR="007D1862">
        <w:rPr>
          <w:rFonts w:ascii="Times New Roman" w:eastAsia="Times New Roman" w:hAnsi="Times New Roman" w:cs="Times New Roman"/>
          <w:color w:val="000000"/>
          <w:sz w:val="24"/>
          <w:szCs w:val="24"/>
        </w:rPr>
        <w:t>07</w:t>
      </w:r>
      <w:r w:rsidR="00FF2FE4" w:rsidRPr="00EE6393">
        <w:rPr>
          <w:rFonts w:ascii="Times New Roman" w:eastAsia="Times New Roman" w:hAnsi="Times New Roman" w:cs="Times New Roman"/>
          <w:color w:val="000000"/>
          <w:sz w:val="24"/>
          <w:szCs w:val="24"/>
        </w:rPr>
        <w:t xml:space="preserve"> </w:t>
      </w:r>
      <w:r w:rsidR="00C27D76" w:rsidRPr="00EE6393">
        <w:rPr>
          <w:rFonts w:ascii="Times New Roman" w:eastAsia="Times New Roman" w:hAnsi="Times New Roman" w:cs="Times New Roman"/>
          <w:color w:val="000000"/>
          <w:sz w:val="24"/>
          <w:szCs w:val="24"/>
        </w:rPr>
        <w:t>*</w:t>
      </w:r>
      <w:r w:rsidR="00FF2FE4" w:rsidRPr="00EE6393">
        <w:rPr>
          <w:rFonts w:ascii="Times New Roman" w:eastAsia="Times New Roman" w:hAnsi="Times New Roman" w:cs="Times New Roman"/>
          <w:color w:val="000000"/>
          <w:sz w:val="24"/>
          <w:szCs w:val="24"/>
        </w:rPr>
        <w:t xml:space="preserve"> </w:t>
      </w:r>
      <w:r w:rsidR="00C27D76" w:rsidRPr="00EE6393">
        <w:rPr>
          <w:rFonts w:ascii="Times New Roman" w:eastAsia="Times New Roman" w:hAnsi="Times New Roman" w:cs="Times New Roman"/>
          <w:color w:val="000000"/>
          <w:sz w:val="24"/>
          <w:szCs w:val="24"/>
        </w:rPr>
        <w:lastRenderedPageBreak/>
        <w:t>0.1</w:t>
      </w:r>
      <w:r w:rsidR="00440E71">
        <w:rPr>
          <w:rFonts w:ascii="Times New Roman" w:eastAsia="Times New Roman" w:hAnsi="Times New Roman" w:cs="Times New Roman"/>
          <w:color w:val="000000"/>
          <w:sz w:val="24"/>
          <w:szCs w:val="24"/>
        </w:rPr>
        <w:t>8</w:t>
      </w:r>
      <w:r w:rsidR="00C27D76" w:rsidRPr="00EE6393">
        <w:rPr>
          <w:rFonts w:ascii="Times New Roman" w:eastAsia="Times New Roman" w:hAnsi="Times New Roman" w:cs="Times New Roman"/>
          <w:color w:val="000000"/>
          <w:sz w:val="24"/>
          <w:szCs w:val="24"/>
        </w:rPr>
        <w:t xml:space="preserve"> </w:t>
      </w:r>
      <w:r w:rsidR="00FF2FE4" w:rsidRPr="00EE6393">
        <w:rPr>
          <w:rFonts w:ascii="Times New Roman" w:eastAsia="Times New Roman" w:hAnsi="Times New Roman" w:cs="Times New Roman"/>
          <w:color w:val="000000"/>
          <w:sz w:val="24"/>
          <w:szCs w:val="24"/>
        </w:rPr>
        <w:sym w:font="Symbol" w:char="F0BB"/>
      </w:r>
      <w:r w:rsidR="00C27D76" w:rsidRPr="00EE6393">
        <w:rPr>
          <w:rFonts w:ascii="Times New Roman" w:eastAsia="Times New Roman" w:hAnsi="Times New Roman" w:cs="Times New Roman"/>
          <w:color w:val="000000"/>
          <w:sz w:val="24"/>
          <w:szCs w:val="24"/>
        </w:rPr>
        <w:t xml:space="preserve"> </w:t>
      </w:r>
      <w:r w:rsidR="007D1862">
        <w:rPr>
          <w:rFonts w:ascii="Times New Roman" w:eastAsia="Times New Roman" w:hAnsi="Times New Roman" w:cs="Times New Roman"/>
          <w:color w:val="000000"/>
          <w:sz w:val="24"/>
          <w:szCs w:val="24"/>
        </w:rPr>
        <w:t>1</w:t>
      </w:r>
      <w:r w:rsidR="00FF2FE4" w:rsidRPr="00EE6393">
        <w:rPr>
          <w:rFonts w:ascii="Times New Roman" w:eastAsia="Times New Roman" w:hAnsi="Times New Roman" w:cs="Times New Roman"/>
          <w:color w:val="000000"/>
          <w:sz w:val="24"/>
          <w:szCs w:val="24"/>
        </w:rPr>
        <w:t xml:space="preserve"> percent</w:t>
      </w:r>
      <w:r w:rsidR="00C27D76" w:rsidRPr="00EE6393">
        <w:rPr>
          <w:rFonts w:ascii="Times New Roman" w:eastAsia="Times New Roman" w:hAnsi="Times New Roman" w:cs="Times New Roman"/>
          <w:color w:val="000000"/>
          <w:sz w:val="24"/>
          <w:szCs w:val="24"/>
        </w:rPr>
        <w:t xml:space="preserve"> narrowing of that wage premium.</w:t>
      </w:r>
      <w:r w:rsidR="00C27D76">
        <w:rPr>
          <w:rFonts w:ascii="Times New Roman" w:eastAsia="Times New Roman" w:hAnsi="Times New Roman" w:cs="Times New Roman"/>
          <w:color w:val="000000"/>
          <w:sz w:val="24"/>
          <w:szCs w:val="24"/>
        </w:rPr>
        <w:t xml:space="preserve"> </w:t>
      </w:r>
      <w:r w:rsidR="008A73D9">
        <w:rPr>
          <w:rFonts w:ascii="Times New Roman" w:eastAsia="Times New Roman" w:hAnsi="Times New Roman" w:cs="Times New Roman"/>
          <w:color w:val="000000"/>
          <w:sz w:val="24"/>
          <w:szCs w:val="24"/>
        </w:rPr>
        <w:t>W</w:t>
      </w:r>
      <w:r w:rsidR="004C4ECC">
        <w:rPr>
          <w:rFonts w:ascii="Times New Roman" w:eastAsia="Times New Roman" w:hAnsi="Times New Roman" w:cs="Times New Roman"/>
          <w:color w:val="000000"/>
          <w:sz w:val="24"/>
          <w:szCs w:val="24"/>
        </w:rPr>
        <w:t xml:space="preserve">hen both </w:t>
      </w:r>
      <w:r w:rsidR="00EB617C">
        <w:rPr>
          <w:rFonts w:ascii="Times New Roman" w:eastAsia="Times New Roman" w:hAnsi="Times New Roman" w:cs="Times New Roman"/>
          <w:color w:val="000000"/>
          <w:sz w:val="24"/>
          <w:szCs w:val="24"/>
        </w:rPr>
        <w:t>AA and BA</w:t>
      </w:r>
      <w:r w:rsidR="004C4ECC">
        <w:rPr>
          <w:rFonts w:ascii="Times New Roman" w:eastAsia="Times New Roman" w:hAnsi="Times New Roman" w:cs="Times New Roman"/>
          <w:color w:val="000000"/>
          <w:sz w:val="24"/>
          <w:szCs w:val="24"/>
        </w:rPr>
        <w:t xml:space="preserve"> attainment </w:t>
      </w:r>
      <w:proofErr w:type="gramStart"/>
      <w:r w:rsidR="004C4ECC">
        <w:rPr>
          <w:rFonts w:ascii="Times New Roman" w:eastAsia="Times New Roman" w:hAnsi="Times New Roman" w:cs="Times New Roman"/>
          <w:color w:val="000000"/>
          <w:sz w:val="24"/>
          <w:szCs w:val="24"/>
        </w:rPr>
        <w:t>is changed</w:t>
      </w:r>
      <w:proofErr w:type="gramEnd"/>
      <w:r w:rsidR="004C4ECC">
        <w:rPr>
          <w:rFonts w:ascii="Times New Roman" w:eastAsia="Times New Roman" w:hAnsi="Times New Roman" w:cs="Times New Roman"/>
          <w:color w:val="000000"/>
          <w:sz w:val="24"/>
          <w:szCs w:val="24"/>
        </w:rPr>
        <w:t xml:space="preserve">, </w:t>
      </w:r>
      <w:r w:rsidR="00FF2FE4">
        <w:rPr>
          <w:rFonts w:ascii="Times New Roman" w:eastAsia="Times New Roman" w:hAnsi="Times New Roman" w:cs="Times New Roman"/>
          <w:color w:val="000000"/>
          <w:sz w:val="24"/>
          <w:szCs w:val="24"/>
        </w:rPr>
        <w:t xml:space="preserve">as in Simulations 2 and 3, </w:t>
      </w:r>
      <w:r w:rsidR="004C4ECC">
        <w:rPr>
          <w:rFonts w:ascii="Times New Roman" w:eastAsia="Times New Roman" w:hAnsi="Times New Roman" w:cs="Times New Roman"/>
          <w:color w:val="000000"/>
          <w:sz w:val="24"/>
          <w:szCs w:val="24"/>
        </w:rPr>
        <w:t xml:space="preserve">we narrow the wage </w:t>
      </w:r>
      <w:proofErr w:type="spellStart"/>
      <w:r w:rsidR="00201232">
        <w:rPr>
          <w:rFonts w:ascii="Times New Roman" w:eastAsia="Times New Roman" w:hAnsi="Times New Roman" w:cs="Times New Roman"/>
          <w:color w:val="000000"/>
          <w:sz w:val="24"/>
          <w:szCs w:val="24"/>
        </w:rPr>
        <w:t>premia</w:t>
      </w:r>
      <w:proofErr w:type="spellEnd"/>
      <w:r w:rsidR="00201232">
        <w:rPr>
          <w:rFonts w:ascii="Times New Roman" w:eastAsia="Times New Roman" w:hAnsi="Times New Roman" w:cs="Times New Roman"/>
          <w:color w:val="000000"/>
          <w:sz w:val="24"/>
          <w:szCs w:val="24"/>
        </w:rPr>
        <w:t xml:space="preserve"> </w:t>
      </w:r>
      <w:r w:rsidR="004C4ECC">
        <w:rPr>
          <w:rFonts w:ascii="Times New Roman" w:eastAsia="Times New Roman" w:hAnsi="Times New Roman" w:cs="Times New Roman"/>
          <w:color w:val="000000"/>
          <w:sz w:val="24"/>
          <w:szCs w:val="24"/>
        </w:rPr>
        <w:t xml:space="preserve">sequentially: </w:t>
      </w:r>
      <w:r w:rsidR="00201232">
        <w:rPr>
          <w:rFonts w:ascii="Times New Roman" w:eastAsia="Times New Roman" w:hAnsi="Times New Roman" w:cs="Times New Roman"/>
          <w:color w:val="000000"/>
          <w:sz w:val="24"/>
          <w:szCs w:val="24"/>
        </w:rPr>
        <w:t xml:space="preserve">first adjusting </w:t>
      </w:r>
      <w:r w:rsidR="004C4ECC">
        <w:rPr>
          <w:rFonts w:ascii="Times New Roman" w:eastAsia="Times New Roman" w:hAnsi="Times New Roman" w:cs="Times New Roman"/>
          <w:color w:val="000000"/>
          <w:sz w:val="24"/>
          <w:szCs w:val="24"/>
        </w:rPr>
        <w:t>the AA/</w:t>
      </w:r>
      <w:r w:rsidR="00201232">
        <w:rPr>
          <w:rFonts w:ascii="Times New Roman" w:eastAsia="Times New Roman" w:hAnsi="Times New Roman" w:cs="Times New Roman"/>
          <w:color w:val="000000"/>
          <w:sz w:val="24"/>
          <w:szCs w:val="24"/>
        </w:rPr>
        <w:t>h</w:t>
      </w:r>
      <w:r w:rsidR="004C4ECC">
        <w:rPr>
          <w:rFonts w:ascii="Times New Roman" w:eastAsia="Times New Roman" w:hAnsi="Times New Roman" w:cs="Times New Roman"/>
          <w:color w:val="000000"/>
          <w:sz w:val="24"/>
          <w:szCs w:val="24"/>
        </w:rPr>
        <w:t xml:space="preserve">igh </w:t>
      </w:r>
      <w:r w:rsidR="00201232">
        <w:rPr>
          <w:rFonts w:ascii="Times New Roman" w:eastAsia="Times New Roman" w:hAnsi="Times New Roman" w:cs="Times New Roman"/>
          <w:color w:val="000000"/>
          <w:sz w:val="24"/>
          <w:szCs w:val="24"/>
        </w:rPr>
        <w:t>s</w:t>
      </w:r>
      <w:r w:rsidR="004C4ECC">
        <w:rPr>
          <w:rFonts w:ascii="Times New Roman" w:eastAsia="Times New Roman" w:hAnsi="Times New Roman" w:cs="Times New Roman"/>
          <w:color w:val="000000"/>
          <w:sz w:val="24"/>
          <w:szCs w:val="24"/>
        </w:rPr>
        <w:t xml:space="preserve">chool wage </w:t>
      </w:r>
      <w:r w:rsidR="00EB617C">
        <w:rPr>
          <w:rFonts w:ascii="Times New Roman" w:eastAsia="Times New Roman" w:hAnsi="Times New Roman" w:cs="Times New Roman"/>
          <w:color w:val="000000"/>
          <w:sz w:val="24"/>
          <w:szCs w:val="24"/>
        </w:rPr>
        <w:t>premium</w:t>
      </w:r>
      <w:r w:rsidR="004C4ECC">
        <w:rPr>
          <w:rFonts w:ascii="Times New Roman" w:eastAsia="Times New Roman" w:hAnsi="Times New Roman" w:cs="Times New Roman"/>
          <w:color w:val="000000"/>
          <w:sz w:val="24"/>
          <w:szCs w:val="24"/>
        </w:rPr>
        <w:t xml:space="preserve">, then narrowing the </w:t>
      </w:r>
      <w:r w:rsidR="00EB617C">
        <w:rPr>
          <w:rFonts w:ascii="Times New Roman" w:eastAsia="Times New Roman" w:hAnsi="Times New Roman" w:cs="Times New Roman"/>
          <w:color w:val="000000"/>
          <w:sz w:val="24"/>
          <w:szCs w:val="24"/>
        </w:rPr>
        <w:t xml:space="preserve">BA/high school </w:t>
      </w:r>
      <w:r w:rsidR="004C4ECC">
        <w:rPr>
          <w:rFonts w:ascii="Times New Roman" w:eastAsia="Times New Roman" w:hAnsi="Times New Roman" w:cs="Times New Roman"/>
          <w:color w:val="000000"/>
          <w:sz w:val="24"/>
          <w:szCs w:val="24"/>
        </w:rPr>
        <w:t xml:space="preserve">wage </w:t>
      </w:r>
      <w:r w:rsidR="00201232">
        <w:rPr>
          <w:rFonts w:ascii="Times New Roman" w:eastAsia="Times New Roman" w:hAnsi="Times New Roman" w:cs="Times New Roman"/>
          <w:color w:val="000000"/>
          <w:sz w:val="24"/>
          <w:szCs w:val="24"/>
        </w:rPr>
        <w:t>premium</w:t>
      </w:r>
      <w:r w:rsidR="004C4ECC">
        <w:rPr>
          <w:rFonts w:ascii="Times New Roman" w:eastAsia="Times New Roman" w:hAnsi="Times New Roman" w:cs="Times New Roman"/>
          <w:color w:val="000000"/>
          <w:sz w:val="24"/>
          <w:szCs w:val="24"/>
        </w:rPr>
        <w:t xml:space="preserve">. </w:t>
      </w:r>
      <w:r w:rsidR="006D7357">
        <w:rPr>
          <w:rFonts w:ascii="Times New Roman" w:eastAsia="Times New Roman" w:hAnsi="Times New Roman" w:cs="Times New Roman"/>
          <w:color w:val="000000"/>
          <w:sz w:val="24"/>
          <w:szCs w:val="24"/>
        </w:rPr>
        <w:t xml:space="preserve">In </w:t>
      </w:r>
      <w:r w:rsidR="00201232">
        <w:rPr>
          <w:rFonts w:ascii="Times New Roman" w:eastAsia="Times New Roman" w:hAnsi="Times New Roman" w:cs="Times New Roman"/>
          <w:color w:val="000000"/>
          <w:sz w:val="24"/>
          <w:szCs w:val="24"/>
        </w:rPr>
        <w:t xml:space="preserve">Simulation </w:t>
      </w:r>
      <w:r w:rsidR="006D7357">
        <w:rPr>
          <w:rFonts w:ascii="Times New Roman" w:eastAsia="Times New Roman" w:hAnsi="Times New Roman" w:cs="Times New Roman"/>
          <w:color w:val="000000"/>
          <w:sz w:val="24"/>
          <w:szCs w:val="24"/>
        </w:rPr>
        <w:t>2, the AA/</w:t>
      </w:r>
      <w:r w:rsidR="00201232">
        <w:rPr>
          <w:rFonts w:ascii="Times New Roman" w:eastAsia="Times New Roman" w:hAnsi="Times New Roman" w:cs="Times New Roman"/>
          <w:color w:val="000000"/>
          <w:sz w:val="24"/>
          <w:szCs w:val="24"/>
        </w:rPr>
        <w:t>h</w:t>
      </w:r>
      <w:r w:rsidR="006D7357">
        <w:rPr>
          <w:rFonts w:ascii="Times New Roman" w:eastAsia="Times New Roman" w:hAnsi="Times New Roman" w:cs="Times New Roman"/>
          <w:color w:val="000000"/>
          <w:sz w:val="24"/>
          <w:szCs w:val="24"/>
        </w:rPr>
        <w:t xml:space="preserve">igh </w:t>
      </w:r>
      <w:r w:rsidR="00201232">
        <w:rPr>
          <w:rFonts w:ascii="Times New Roman" w:eastAsia="Times New Roman" w:hAnsi="Times New Roman" w:cs="Times New Roman"/>
          <w:color w:val="000000"/>
          <w:sz w:val="24"/>
          <w:szCs w:val="24"/>
        </w:rPr>
        <w:t>s</w:t>
      </w:r>
      <w:r w:rsidR="006D7357">
        <w:rPr>
          <w:rFonts w:ascii="Times New Roman" w:eastAsia="Times New Roman" w:hAnsi="Times New Roman" w:cs="Times New Roman"/>
          <w:color w:val="000000"/>
          <w:sz w:val="24"/>
          <w:szCs w:val="24"/>
        </w:rPr>
        <w:t xml:space="preserve">chool wage </w:t>
      </w:r>
      <w:r w:rsidR="00201232">
        <w:rPr>
          <w:rFonts w:ascii="Times New Roman" w:eastAsia="Times New Roman" w:hAnsi="Times New Roman" w:cs="Times New Roman"/>
          <w:color w:val="000000"/>
          <w:sz w:val="24"/>
          <w:szCs w:val="24"/>
        </w:rPr>
        <w:t xml:space="preserve">premium </w:t>
      </w:r>
      <w:r w:rsidR="006D7357">
        <w:rPr>
          <w:rFonts w:ascii="Times New Roman" w:eastAsia="Times New Roman" w:hAnsi="Times New Roman" w:cs="Times New Roman"/>
          <w:color w:val="000000"/>
          <w:sz w:val="24"/>
          <w:szCs w:val="24"/>
        </w:rPr>
        <w:t>narrow</w:t>
      </w:r>
      <w:r w:rsidR="00E11A71">
        <w:rPr>
          <w:rFonts w:ascii="Times New Roman" w:eastAsia="Times New Roman" w:hAnsi="Times New Roman" w:cs="Times New Roman"/>
          <w:color w:val="000000"/>
          <w:sz w:val="24"/>
          <w:szCs w:val="24"/>
        </w:rPr>
        <w:t>s</w:t>
      </w:r>
      <w:r w:rsidR="006D7357">
        <w:rPr>
          <w:rFonts w:ascii="Times New Roman" w:eastAsia="Times New Roman" w:hAnsi="Times New Roman" w:cs="Times New Roman"/>
          <w:color w:val="000000"/>
          <w:sz w:val="24"/>
          <w:szCs w:val="24"/>
        </w:rPr>
        <w:t xml:space="preserve"> by </w:t>
      </w:r>
      <w:r w:rsidR="007D1862">
        <w:rPr>
          <w:rFonts w:ascii="Times New Roman" w:eastAsia="Times New Roman" w:hAnsi="Times New Roman" w:cs="Times New Roman"/>
          <w:color w:val="000000"/>
          <w:sz w:val="24"/>
          <w:szCs w:val="24"/>
        </w:rPr>
        <w:t>7</w:t>
      </w:r>
      <w:r w:rsidR="00201232">
        <w:rPr>
          <w:rFonts w:ascii="Times New Roman" w:eastAsia="Times New Roman" w:hAnsi="Times New Roman" w:cs="Times New Roman"/>
          <w:color w:val="000000"/>
          <w:sz w:val="24"/>
          <w:szCs w:val="24"/>
        </w:rPr>
        <w:t xml:space="preserve"> percent and</w:t>
      </w:r>
      <w:r w:rsidR="006D7357">
        <w:rPr>
          <w:rFonts w:ascii="Times New Roman" w:eastAsia="Times New Roman" w:hAnsi="Times New Roman" w:cs="Times New Roman"/>
          <w:color w:val="000000"/>
          <w:sz w:val="24"/>
          <w:szCs w:val="24"/>
        </w:rPr>
        <w:t xml:space="preserve"> the </w:t>
      </w:r>
      <w:r w:rsidR="00EB617C">
        <w:rPr>
          <w:rFonts w:ascii="Times New Roman" w:eastAsia="Times New Roman" w:hAnsi="Times New Roman" w:cs="Times New Roman"/>
          <w:color w:val="000000"/>
          <w:sz w:val="24"/>
          <w:szCs w:val="24"/>
        </w:rPr>
        <w:t>BA/high school</w:t>
      </w:r>
      <w:r w:rsidR="006D7357">
        <w:rPr>
          <w:rFonts w:ascii="Times New Roman" w:eastAsia="Times New Roman" w:hAnsi="Times New Roman" w:cs="Times New Roman"/>
          <w:color w:val="000000"/>
          <w:sz w:val="24"/>
          <w:szCs w:val="24"/>
        </w:rPr>
        <w:t xml:space="preserve"> </w:t>
      </w:r>
      <w:r w:rsidR="002E133B">
        <w:rPr>
          <w:rFonts w:ascii="Times New Roman" w:eastAsia="Times New Roman" w:hAnsi="Times New Roman" w:cs="Times New Roman"/>
          <w:color w:val="000000"/>
          <w:sz w:val="24"/>
          <w:szCs w:val="24"/>
        </w:rPr>
        <w:t xml:space="preserve">wage premium </w:t>
      </w:r>
      <w:r w:rsidR="00201232">
        <w:rPr>
          <w:rFonts w:ascii="Times New Roman" w:eastAsia="Times New Roman" w:hAnsi="Times New Roman" w:cs="Times New Roman"/>
          <w:color w:val="000000"/>
          <w:sz w:val="24"/>
          <w:szCs w:val="24"/>
        </w:rPr>
        <w:t>shrinks</w:t>
      </w:r>
      <w:r w:rsidR="006D7357">
        <w:rPr>
          <w:rFonts w:ascii="Times New Roman" w:eastAsia="Times New Roman" w:hAnsi="Times New Roman" w:cs="Times New Roman"/>
          <w:color w:val="000000"/>
          <w:sz w:val="24"/>
          <w:szCs w:val="24"/>
        </w:rPr>
        <w:t xml:space="preserve"> by </w:t>
      </w:r>
      <w:r w:rsidR="007D1862">
        <w:rPr>
          <w:rFonts w:ascii="Times New Roman" w:eastAsia="Times New Roman" w:hAnsi="Times New Roman" w:cs="Times New Roman"/>
          <w:color w:val="000000"/>
          <w:sz w:val="24"/>
          <w:szCs w:val="24"/>
        </w:rPr>
        <w:t>4</w:t>
      </w:r>
      <w:r w:rsidR="00201232">
        <w:rPr>
          <w:rFonts w:ascii="Times New Roman" w:eastAsia="Times New Roman" w:hAnsi="Times New Roman" w:cs="Times New Roman"/>
          <w:color w:val="000000"/>
          <w:sz w:val="24"/>
          <w:szCs w:val="24"/>
        </w:rPr>
        <w:t xml:space="preserve"> percent</w:t>
      </w:r>
      <w:r w:rsidR="006D7357">
        <w:rPr>
          <w:rFonts w:ascii="Times New Roman" w:eastAsia="Times New Roman" w:hAnsi="Times New Roman" w:cs="Times New Roman"/>
          <w:color w:val="000000"/>
          <w:sz w:val="24"/>
          <w:szCs w:val="24"/>
        </w:rPr>
        <w:t xml:space="preserve">. In </w:t>
      </w:r>
      <w:r w:rsidR="00201232">
        <w:rPr>
          <w:rFonts w:ascii="Times New Roman" w:eastAsia="Times New Roman" w:hAnsi="Times New Roman" w:cs="Times New Roman"/>
          <w:color w:val="000000"/>
          <w:sz w:val="24"/>
          <w:szCs w:val="24"/>
        </w:rPr>
        <w:t>Simulation 3</w:t>
      </w:r>
      <w:r w:rsidR="006D7357">
        <w:rPr>
          <w:rFonts w:ascii="Times New Roman" w:eastAsia="Times New Roman" w:hAnsi="Times New Roman" w:cs="Times New Roman"/>
          <w:color w:val="000000"/>
          <w:sz w:val="24"/>
          <w:szCs w:val="24"/>
        </w:rPr>
        <w:t xml:space="preserve">, the wage </w:t>
      </w:r>
      <w:proofErr w:type="spellStart"/>
      <w:r w:rsidR="006D7357">
        <w:rPr>
          <w:rFonts w:ascii="Times New Roman" w:eastAsia="Times New Roman" w:hAnsi="Times New Roman" w:cs="Times New Roman"/>
          <w:color w:val="000000"/>
          <w:sz w:val="24"/>
          <w:szCs w:val="24"/>
        </w:rPr>
        <w:t>premia</w:t>
      </w:r>
      <w:proofErr w:type="spellEnd"/>
      <w:r w:rsidR="006D7357">
        <w:rPr>
          <w:rFonts w:ascii="Times New Roman" w:eastAsia="Times New Roman" w:hAnsi="Times New Roman" w:cs="Times New Roman"/>
          <w:color w:val="000000"/>
          <w:sz w:val="24"/>
          <w:szCs w:val="24"/>
        </w:rPr>
        <w:t xml:space="preserve"> fall by </w:t>
      </w:r>
      <w:r w:rsidR="007E0FE1">
        <w:rPr>
          <w:rFonts w:ascii="Times New Roman" w:eastAsia="Times New Roman" w:hAnsi="Times New Roman" w:cs="Times New Roman"/>
          <w:color w:val="000000"/>
          <w:sz w:val="24"/>
          <w:szCs w:val="24"/>
        </w:rPr>
        <w:t>2</w:t>
      </w:r>
      <w:r w:rsidR="00705AAC">
        <w:rPr>
          <w:rFonts w:ascii="Times New Roman" w:eastAsia="Times New Roman" w:hAnsi="Times New Roman" w:cs="Times New Roman"/>
          <w:color w:val="000000"/>
          <w:sz w:val="24"/>
          <w:szCs w:val="24"/>
        </w:rPr>
        <w:t>2</w:t>
      </w:r>
      <w:r w:rsidR="007E0FE1">
        <w:rPr>
          <w:rFonts w:ascii="Times New Roman" w:eastAsia="Times New Roman" w:hAnsi="Times New Roman" w:cs="Times New Roman"/>
          <w:color w:val="000000"/>
          <w:sz w:val="24"/>
          <w:szCs w:val="24"/>
        </w:rPr>
        <w:t xml:space="preserve"> </w:t>
      </w:r>
      <w:r w:rsidR="006D7357">
        <w:rPr>
          <w:rFonts w:ascii="Times New Roman" w:eastAsia="Times New Roman" w:hAnsi="Times New Roman" w:cs="Times New Roman"/>
          <w:color w:val="000000"/>
          <w:sz w:val="24"/>
          <w:szCs w:val="24"/>
        </w:rPr>
        <w:t xml:space="preserve">and </w:t>
      </w:r>
      <w:r w:rsidR="007E0FE1">
        <w:rPr>
          <w:rFonts w:ascii="Times New Roman" w:eastAsia="Times New Roman" w:hAnsi="Times New Roman" w:cs="Times New Roman"/>
          <w:color w:val="000000"/>
          <w:sz w:val="24"/>
          <w:szCs w:val="24"/>
        </w:rPr>
        <w:t>1</w:t>
      </w:r>
      <w:r w:rsidR="00705AAC">
        <w:rPr>
          <w:rFonts w:ascii="Times New Roman" w:eastAsia="Times New Roman" w:hAnsi="Times New Roman" w:cs="Times New Roman"/>
          <w:color w:val="000000"/>
          <w:sz w:val="24"/>
          <w:szCs w:val="24"/>
        </w:rPr>
        <w:t>1</w:t>
      </w:r>
      <w:r w:rsidR="007E0FE1">
        <w:rPr>
          <w:rFonts w:ascii="Times New Roman" w:eastAsia="Times New Roman" w:hAnsi="Times New Roman" w:cs="Times New Roman"/>
          <w:color w:val="000000"/>
          <w:sz w:val="24"/>
          <w:szCs w:val="24"/>
        </w:rPr>
        <w:t xml:space="preserve"> </w:t>
      </w:r>
      <w:r w:rsidR="00201232">
        <w:rPr>
          <w:rFonts w:ascii="Times New Roman" w:eastAsia="Times New Roman" w:hAnsi="Times New Roman" w:cs="Times New Roman"/>
          <w:color w:val="000000"/>
          <w:sz w:val="24"/>
          <w:szCs w:val="24"/>
        </w:rPr>
        <w:t>percent</w:t>
      </w:r>
      <w:r w:rsidR="006D7357">
        <w:rPr>
          <w:rFonts w:ascii="Times New Roman" w:eastAsia="Times New Roman" w:hAnsi="Times New Roman" w:cs="Times New Roman"/>
          <w:color w:val="000000"/>
          <w:sz w:val="24"/>
          <w:szCs w:val="24"/>
        </w:rPr>
        <w:t>, respectively.</w:t>
      </w:r>
    </w:p>
    <w:p w14:paraId="30FF7C9B" w14:textId="77777777" w:rsidR="002E133B" w:rsidRPr="00494E60" w:rsidRDefault="002E133B" w:rsidP="00494E60">
      <w:pPr>
        <w:shd w:val="clear" w:color="auto" w:fill="FFFFFF"/>
        <w:spacing w:after="0" w:line="480" w:lineRule="auto"/>
        <w:rPr>
          <w:rFonts w:ascii="Times New Roman" w:hAnsi="Times New Roman" w:cs="Times New Roman"/>
          <w:sz w:val="24"/>
          <w:szCs w:val="24"/>
        </w:rPr>
      </w:pPr>
    </w:p>
    <w:p w14:paraId="3F1E7D23" w14:textId="1ACF5BEB" w:rsidR="0034511E" w:rsidRPr="0034511E" w:rsidRDefault="0034511E" w:rsidP="00540511">
      <w:pPr>
        <w:pStyle w:val="ListParagraph"/>
        <w:numPr>
          <w:ilvl w:val="0"/>
          <w:numId w:val="12"/>
        </w:numPr>
        <w:spacing w:after="0" w:line="480" w:lineRule="auto"/>
        <w:ind w:left="720"/>
        <w:rPr>
          <w:rFonts w:ascii="Times New Roman" w:hAnsi="Times New Roman" w:cs="Times New Roman"/>
          <w:b/>
          <w:i/>
          <w:sz w:val="24"/>
          <w:szCs w:val="24"/>
        </w:rPr>
      </w:pPr>
      <w:r w:rsidRPr="0034511E">
        <w:rPr>
          <w:rFonts w:ascii="Times New Roman" w:hAnsi="Times New Roman" w:cs="Times New Roman"/>
          <w:b/>
          <w:i/>
          <w:sz w:val="24"/>
          <w:szCs w:val="24"/>
        </w:rPr>
        <w:t>RESULTS</w:t>
      </w:r>
    </w:p>
    <w:p w14:paraId="4069ABFA" w14:textId="126C3821" w:rsidR="002429A5" w:rsidRDefault="00B11559" w:rsidP="00E34AE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Table 2 shows the practical impact of the three simulations on the numbers and shares of degree holders </w:t>
      </w:r>
      <w:r w:rsidR="00E65075">
        <w:rPr>
          <w:rFonts w:ascii="Times New Roman" w:hAnsi="Times New Roman" w:cs="Times New Roman"/>
          <w:sz w:val="24"/>
          <w:szCs w:val="24"/>
        </w:rPr>
        <w:t xml:space="preserve">for </w:t>
      </w:r>
      <w:r w:rsidR="00CE4130">
        <w:rPr>
          <w:rFonts w:ascii="Times New Roman" w:hAnsi="Times New Roman" w:cs="Times New Roman"/>
          <w:sz w:val="24"/>
          <w:szCs w:val="24"/>
        </w:rPr>
        <w:t>four</w:t>
      </w:r>
      <w:r w:rsidR="00E65075">
        <w:rPr>
          <w:rFonts w:ascii="Times New Roman" w:hAnsi="Times New Roman" w:cs="Times New Roman"/>
          <w:sz w:val="24"/>
          <w:szCs w:val="24"/>
        </w:rPr>
        <w:t xml:space="preserve"> samples: all</w:t>
      </w:r>
      <w:r>
        <w:rPr>
          <w:rFonts w:ascii="Times New Roman" w:hAnsi="Times New Roman" w:cs="Times New Roman"/>
          <w:sz w:val="24"/>
          <w:szCs w:val="24"/>
        </w:rPr>
        <w:t xml:space="preserve"> FTFY </w:t>
      </w:r>
      <w:r w:rsidR="00E65075">
        <w:rPr>
          <w:rFonts w:ascii="Times New Roman" w:hAnsi="Times New Roman" w:cs="Times New Roman"/>
          <w:sz w:val="24"/>
          <w:szCs w:val="24"/>
        </w:rPr>
        <w:t xml:space="preserve">workers, </w:t>
      </w:r>
      <w:r w:rsidR="00DC5DD6">
        <w:rPr>
          <w:rFonts w:ascii="Times New Roman" w:hAnsi="Times New Roman" w:cs="Times New Roman"/>
          <w:sz w:val="24"/>
          <w:szCs w:val="24"/>
        </w:rPr>
        <w:t xml:space="preserve">FTFY men, </w:t>
      </w:r>
      <w:r w:rsidR="00CE4130">
        <w:rPr>
          <w:rFonts w:ascii="Times New Roman" w:hAnsi="Times New Roman" w:cs="Times New Roman"/>
          <w:sz w:val="24"/>
          <w:szCs w:val="24"/>
        </w:rPr>
        <w:t xml:space="preserve">FTFY women, </w:t>
      </w:r>
      <w:r w:rsidR="00DC5DD6">
        <w:rPr>
          <w:rFonts w:ascii="Times New Roman" w:hAnsi="Times New Roman" w:cs="Times New Roman"/>
          <w:sz w:val="24"/>
          <w:szCs w:val="24"/>
        </w:rPr>
        <w:t>and all men</w:t>
      </w:r>
      <w:r w:rsidR="004D25C5">
        <w:rPr>
          <w:rFonts w:ascii="Times New Roman" w:hAnsi="Times New Roman" w:cs="Times New Roman"/>
          <w:sz w:val="24"/>
          <w:szCs w:val="24"/>
        </w:rPr>
        <w:t xml:space="preserve"> unconditional on work status</w:t>
      </w:r>
      <w:r w:rsidR="00DC5DD6">
        <w:rPr>
          <w:rFonts w:ascii="Times New Roman" w:hAnsi="Times New Roman" w:cs="Times New Roman"/>
          <w:sz w:val="24"/>
          <w:szCs w:val="24"/>
        </w:rPr>
        <w:t xml:space="preserve">. We focus on these </w:t>
      </w:r>
      <w:r w:rsidR="00CE4130">
        <w:rPr>
          <w:rFonts w:ascii="Times New Roman" w:hAnsi="Times New Roman" w:cs="Times New Roman"/>
          <w:sz w:val="24"/>
          <w:szCs w:val="24"/>
        </w:rPr>
        <w:t>four</w:t>
      </w:r>
      <w:r w:rsidR="00DC5DD6">
        <w:rPr>
          <w:rFonts w:ascii="Times New Roman" w:hAnsi="Times New Roman" w:cs="Times New Roman"/>
          <w:sz w:val="24"/>
          <w:szCs w:val="24"/>
        </w:rPr>
        <w:t xml:space="preserve"> samples because the unconditional sample of women includes a large share of non-workers. </w:t>
      </w:r>
      <w:r w:rsidR="0075654F">
        <w:rPr>
          <w:rFonts w:ascii="Times New Roman" w:hAnsi="Times New Roman" w:cs="Times New Roman"/>
          <w:sz w:val="24"/>
          <w:szCs w:val="24"/>
        </w:rPr>
        <w:t xml:space="preserve">As shown in the top panel, in 2018 </w:t>
      </w:r>
      <w:r>
        <w:rPr>
          <w:rFonts w:ascii="Times New Roman" w:hAnsi="Times New Roman" w:cs="Times New Roman"/>
          <w:sz w:val="24"/>
          <w:szCs w:val="24"/>
        </w:rPr>
        <w:t>45.1</w:t>
      </w:r>
      <w:r w:rsidR="0075654F">
        <w:rPr>
          <w:rFonts w:ascii="Times New Roman" w:hAnsi="Times New Roman" w:cs="Times New Roman"/>
          <w:sz w:val="24"/>
          <w:szCs w:val="24"/>
        </w:rPr>
        <w:t xml:space="preserve"> percent</w:t>
      </w:r>
      <w:r>
        <w:rPr>
          <w:rFonts w:ascii="Times New Roman" w:hAnsi="Times New Roman" w:cs="Times New Roman"/>
          <w:sz w:val="24"/>
          <w:szCs w:val="24"/>
        </w:rPr>
        <w:t xml:space="preserve"> of FTFY </w:t>
      </w:r>
      <w:r w:rsidR="00655A67">
        <w:rPr>
          <w:rFonts w:ascii="Times New Roman" w:hAnsi="Times New Roman" w:cs="Times New Roman"/>
          <w:sz w:val="24"/>
          <w:szCs w:val="24"/>
        </w:rPr>
        <w:t xml:space="preserve">prime-age </w:t>
      </w:r>
      <w:r>
        <w:rPr>
          <w:rFonts w:ascii="Times New Roman" w:hAnsi="Times New Roman" w:cs="Times New Roman"/>
          <w:sz w:val="24"/>
          <w:szCs w:val="24"/>
        </w:rPr>
        <w:t xml:space="preserve">workers </w:t>
      </w:r>
      <w:proofErr w:type="gramStart"/>
      <w:r>
        <w:rPr>
          <w:rFonts w:ascii="Times New Roman" w:hAnsi="Times New Roman" w:cs="Times New Roman"/>
          <w:sz w:val="24"/>
          <w:szCs w:val="24"/>
        </w:rPr>
        <w:t>h</w:t>
      </w:r>
      <w:r w:rsidR="0075654F">
        <w:rPr>
          <w:rFonts w:ascii="Times New Roman" w:hAnsi="Times New Roman" w:cs="Times New Roman"/>
          <w:sz w:val="24"/>
          <w:szCs w:val="24"/>
        </w:rPr>
        <w:t>e</w:t>
      </w:r>
      <w:r>
        <w:rPr>
          <w:rFonts w:ascii="Times New Roman" w:hAnsi="Times New Roman" w:cs="Times New Roman"/>
          <w:sz w:val="24"/>
          <w:szCs w:val="24"/>
        </w:rPr>
        <w:t>ld a</w:t>
      </w:r>
      <w:r w:rsidR="001C6AA9">
        <w:rPr>
          <w:rFonts w:ascii="Times New Roman" w:hAnsi="Times New Roman" w:cs="Times New Roman"/>
          <w:sz w:val="24"/>
          <w:szCs w:val="24"/>
        </w:rPr>
        <w:t>t least a</w:t>
      </w:r>
      <w:r>
        <w:rPr>
          <w:rFonts w:ascii="Times New Roman" w:hAnsi="Times New Roman" w:cs="Times New Roman"/>
          <w:sz w:val="24"/>
          <w:szCs w:val="24"/>
        </w:rPr>
        <w:t xml:space="preserve"> BA and </w:t>
      </w:r>
      <w:r w:rsidR="001910E7">
        <w:rPr>
          <w:rFonts w:ascii="Times New Roman" w:hAnsi="Times New Roman" w:cs="Times New Roman"/>
          <w:sz w:val="24"/>
          <w:szCs w:val="24"/>
        </w:rPr>
        <w:t>10.</w:t>
      </w:r>
      <w:r w:rsidR="002E3167">
        <w:rPr>
          <w:rFonts w:ascii="Times New Roman" w:hAnsi="Times New Roman" w:cs="Times New Roman"/>
          <w:sz w:val="24"/>
          <w:szCs w:val="24"/>
        </w:rPr>
        <w:t>9</w:t>
      </w:r>
      <w:r w:rsidR="0075654F">
        <w:rPr>
          <w:rFonts w:ascii="Times New Roman" w:hAnsi="Times New Roman" w:cs="Times New Roman"/>
          <w:sz w:val="24"/>
          <w:szCs w:val="24"/>
        </w:rPr>
        <w:t xml:space="preserve"> percent</w:t>
      </w:r>
      <w:r>
        <w:rPr>
          <w:rFonts w:ascii="Times New Roman" w:hAnsi="Times New Roman" w:cs="Times New Roman"/>
          <w:sz w:val="24"/>
          <w:szCs w:val="24"/>
        </w:rPr>
        <w:t xml:space="preserve"> h</w:t>
      </w:r>
      <w:r w:rsidR="0075654F">
        <w:rPr>
          <w:rFonts w:ascii="Times New Roman" w:hAnsi="Times New Roman" w:cs="Times New Roman"/>
          <w:sz w:val="24"/>
          <w:szCs w:val="24"/>
        </w:rPr>
        <w:t>e</w:t>
      </w:r>
      <w:r>
        <w:rPr>
          <w:rFonts w:ascii="Times New Roman" w:hAnsi="Times New Roman" w:cs="Times New Roman"/>
          <w:sz w:val="24"/>
          <w:szCs w:val="24"/>
        </w:rPr>
        <w:t>ld an AA</w:t>
      </w:r>
      <w:proofErr w:type="gramEnd"/>
      <w:r>
        <w:rPr>
          <w:rFonts w:ascii="Times New Roman" w:hAnsi="Times New Roman" w:cs="Times New Roman"/>
          <w:sz w:val="24"/>
          <w:szCs w:val="24"/>
        </w:rPr>
        <w:t xml:space="preserve">. </w:t>
      </w:r>
      <w:r w:rsidR="00D2559F">
        <w:rPr>
          <w:rFonts w:ascii="Times New Roman" w:hAnsi="Times New Roman" w:cs="Times New Roman"/>
          <w:sz w:val="24"/>
          <w:szCs w:val="24"/>
        </w:rPr>
        <w:t>(</w:t>
      </w:r>
      <w:r w:rsidR="006C5E69">
        <w:rPr>
          <w:rFonts w:ascii="Times New Roman" w:hAnsi="Times New Roman" w:cs="Times New Roman"/>
          <w:sz w:val="24"/>
          <w:szCs w:val="24"/>
        </w:rPr>
        <w:t xml:space="preserve">Among all </w:t>
      </w:r>
      <w:r>
        <w:rPr>
          <w:rFonts w:ascii="Times New Roman" w:hAnsi="Times New Roman" w:cs="Times New Roman"/>
          <w:sz w:val="24"/>
          <w:szCs w:val="24"/>
        </w:rPr>
        <w:t>adults age 25 to 54, 39.9</w:t>
      </w:r>
      <w:r w:rsidR="00906A34">
        <w:rPr>
          <w:rFonts w:ascii="Times New Roman" w:hAnsi="Times New Roman" w:cs="Times New Roman"/>
          <w:sz w:val="24"/>
          <w:szCs w:val="24"/>
        </w:rPr>
        <w:t xml:space="preserve"> percent</w:t>
      </w:r>
      <w:r>
        <w:rPr>
          <w:rFonts w:ascii="Times New Roman" w:hAnsi="Times New Roman" w:cs="Times New Roman"/>
          <w:sz w:val="24"/>
          <w:szCs w:val="24"/>
        </w:rPr>
        <w:t xml:space="preserve"> h</w:t>
      </w:r>
      <w:r w:rsidR="00D2559F">
        <w:rPr>
          <w:rFonts w:ascii="Times New Roman" w:hAnsi="Times New Roman" w:cs="Times New Roman"/>
          <w:sz w:val="24"/>
          <w:szCs w:val="24"/>
        </w:rPr>
        <w:t>e</w:t>
      </w:r>
      <w:r>
        <w:rPr>
          <w:rFonts w:ascii="Times New Roman" w:hAnsi="Times New Roman" w:cs="Times New Roman"/>
          <w:sz w:val="24"/>
          <w:szCs w:val="24"/>
        </w:rPr>
        <w:t>ld a</w:t>
      </w:r>
      <w:r w:rsidR="00D2559F">
        <w:rPr>
          <w:rFonts w:ascii="Times New Roman" w:hAnsi="Times New Roman" w:cs="Times New Roman"/>
          <w:sz w:val="24"/>
          <w:szCs w:val="24"/>
        </w:rPr>
        <w:t>t least a</w:t>
      </w:r>
      <w:r>
        <w:rPr>
          <w:rFonts w:ascii="Times New Roman" w:hAnsi="Times New Roman" w:cs="Times New Roman"/>
          <w:sz w:val="24"/>
          <w:szCs w:val="24"/>
        </w:rPr>
        <w:t xml:space="preserve"> BA and 10.7</w:t>
      </w:r>
      <w:r w:rsidR="00906A34">
        <w:rPr>
          <w:rFonts w:ascii="Times New Roman" w:hAnsi="Times New Roman" w:cs="Times New Roman"/>
          <w:sz w:val="24"/>
          <w:szCs w:val="24"/>
        </w:rPr>
        <w:t xml:space="preserve"> percent</w:t>
      </w:r>
      <w:r>
        <w:rPr>
          <w:rFonts w:ascii="Times New Roman" w:hAnsi="Times New Roman" w:cs="Times New Roman"/>
          <w:sz w:val="24"/>
          <w:szCs w:val="24"/>
        </w:rPr>
        <w:t xml:space="preserve"> h</w:t>
      </w:r>
      <w:r w:rsidR="00D2559F">
        <w:rPr>
          <w:rFonts w:ascii="Times New Roman" w:hAnsi="Times New Roman" w:cs="Times New Roman"/>
          <w:sz w:val="24"/>
          <w:szCs w:val="24"/>
        </w:rPr>
        <w:t>e</w:t>
      </w:r>
      <w:r>
        <w:rPr>
          <w:rFonts w:ascii="Times New Roman" w:hAnsi="Times New Roman" w:cs="Times New Roman"/>
          <w:sz w:val="24"/>
          <w:szCs w:val="24"/>
        </w:rPr>
        <w:t>ld an AA</w:t>
      </w:r>
      <w:r w:rsidR="00D2559F">
        <w:rPr>
          <w:rFonts w:ascii="Times New Roman" w:hAnsi="Times New Roman" w:cs="Times New Roman"/>
          <w:sz w:val="24"/>
          <w:szCs w:val="24"/>
        </w:rPr>
        <w:t xml:space="preserve">; </w:t>
      </w:r>
      <w:r w:rsidR="00906A34">
        <w:rPr>
          <w:rFonts w:ascii="Times New Roman" w:hAnsi="Times New Roman" w:cs="Times New Roman"/>
          <w:sz w:val="24"/>
          <w:szCs w:val="24"/>
        </w:rPr>
        <w:t>not shown in the table)</w:t>
      </w:r>
      <w:r>
        <w:rPr>
          <w:rFonts w:ascii="Times New Roman" w:hAnsi="Times New Roman" w:cs="Times New Roman"/>
          <w:sz w:val="24"/>
          <w:szCs w:val="24"/>
        </w:rPr>
        <w:t xml:space="preserve">. </w:t>
      </w:r>
      <w:r w:rsidR="008C0037">
        <w:rPr>
          <w:rFonts w:ascii="Times New Roman" w:hAnsi="Times New Roman" w:cs="Times New Roman"/>
          <w:sz w:val="24"/>
          <w:szCs w:val="24"/>
        </w:rPr>
        <w:t>Simulation 1 raises the BA share to 5</w:t>
      </w:r>
      <w:r>
        <w:rPr>
          <w:rFonts w:ascii="Times New Roman" w:hAnsi="Times New Roman" w:cs="Times New Roman"/>
          <w:sz w:val="24"/>
          <w:szCs w:val="24"/>
        </w:rPr>
        <w:t>0</w:t>
      </w:r>
      <w:r w:rsidR="00906A34">
        <w:rPr>
          <w:rFonts w:ascii="Times New Roman" w:hAnsi="Times New Roman" w:cs="Times New Roman"/>
          <w:sz w:val="24"/>
          <w:szCs w:val="24"/>
        </w:rPr>
        <w:t xml:space="preserve"> percent</w:t>
      </w:r>
      <w:r>
        <w:rPr>
          <w:rFonts w:ascii="Times New Roman" w:hAnsi="Times New Roman" w:cs="Times New Roman"/>
          <w:sz w:val="24"/>
          <w:szCs w:val="24"/>
        </w:rPr>
        <w:t xml:space="preserve">, which </w:t>
      </w:r>
      <w:r w:rsidR="008C0037">
        <w:rPr>
          <w:rFonts w:ascii="Times New Roman" w:hAnsi="Times New Roman" w:cs="Times New Roman"/>
          <w:sz w:val="24"/>
          <w:szCs w:val="24"/>
        </w:rPr>
        <w:t xml:space="preserve">is a </w:t>
      </w:r>
      <w:r w:rsidR="00370E75">
        <w:rPr>
          <w:rFonts w:ascii="Times New Roman" w:hAnsi="Times New Roman" w:cs="Times New Roman"/>
          <w:sz w:val="24"/>
          <w:szCs w:val="24"/>
        </w:rPr>
        <w:t>modest</w:t>
      </w:r>
      <w:r w:rsidR="008C0037">
        <w:rPr>
          <w:rFonts w:ascii="Times New Roman" w:hAnsi="Times New Roman" w:cs="Times New Roman"/>
          <w:sz w:val="24"/>
          <w:szCs w:val="24"/>
        </w:rPr>
        <w:t xml:space="preserve"> increase when the sample is limited to FTFY workers</w:t>
      </w:r>
      <w:r>
        <w:rPr>
          <w:rFonts w:ascii="Times New Roman" w:hAnsi="Times New Roman" w:cs="Times New Roman"/>
          <w:sz w:val="24"/>
          <w:szCs w:val="24"/>
        </w:rPr>
        <w:t>.</w:t>
      </w:r>
      <w:r w:rsidR="008C0037">
        <w:rPr>
          <w:rFonts w:ascii="Times New Roman" w:hAnsi="Times New Roman" w:cs="Times New Roman"/>
          <w:sz w:val="24"/>
          <w:szCs w:val="24"/>
        </w:rPr>
        <w:t xml:space="preserve"> </w:t>
      </w:r>
      <w:r>
        <w:rPr>
          <w:rFonts w:ascii="Times New Roman" w:hAnsi="Times New Roman" w:cs="Times New Roman"/>
          <w:sz w:val="24"/>
          <w:szCs w:val="24"/>
        </w:rPr>
        <w:t>For the full sample</w:t>
      </w:r>
      <w:r w:rsidR="006C5E69">
        <w:rPr>
          <w:rFonts w:ascii="Times New Roman" w:hAnsi="Times New Roman" w:cs="Times New Roman"/>
          <w:sz w:val="24"/>
          <w:szCs w:val="24"/>
        </w:rPr>
        <w:t xml:space="preserve"> of prime-age individuals</w:t>
      </w:r>
      <w:r>
        <w:rPr>
          <w:rFonts w:ascii="Times New Roman" w:hAnsi="Times New Roman" w:cs="Times New Roman"/>
          <w:sz w:val="24"/>
          <w:szCs w:val="24"/>
        </w:rPr>
        <w:t xml:space="preserve">, this increase is more substantial, requiring that 11.1 million more adults hold a </w:t>
      </w:r>
      <w:r w:rsidR="00370E75">
        <w:rPr>
          <w:rFonts w:ascii="Times New Roman" w:hAnsi="Times New Roman" w:cs="Times New Roman"/>
          <w:sz w:val="24"/>
          <w:szCs w:val="24"/>
        </w:rPr>
        <w:t xml:space="preserve">bachelor’s </w:t>
      </w:r>
      <w:r>
        <w:rPr>
          <w:rFonts w:ascii="Times New Roman" w:hAnsi="Times New Roman" w:cs="Times New Roman"/>
          <w:sz w:val="24"/>
          <w:szCs w:val="24"/>
        </w:rPr>
        <w:t>degree (</w:t>
      </w:r>
      <w:r w:rsidR="00370E75">
        <w:rPr>
          <w:rFonts w:ascii="Times New Roman" w:hAnsi="Times New Roman" w:cs="Times New Roman"/>
          <w:sz w:val="24"/>
          <w:szCs w:val="24"/>
        </w:rPr>
        <w:t xml:space="preserve">from </w:t>
      </w:r>
      <w:r>
        <w:rPr>
          <w:rFonts w:ascii="Times New Roman" w:hAnsi="Times New Roman" w:cs="Times New Roman"/>
          <w:sz w:val="24"/>
          <w:szCs w:val="24"/>
        </w:rPr>
        <w:t>39.9 million to 51.0 million</w:t>
      </w:r>
      <w:r w:rsidR="006C5E69">
        <w:rPr>
          <w:rFonts w:ascii="Times New Roman" w:hAnsi="Times New Roman" w:cs="Times New Roman"/>
          <w:sz w:val="24"/>
          <w:szCs w:val="24"/>
        </w:rPr>
        <w:t>; not shown in the table</w:t>
      </w:r>
      <w:r>
        <w:rPr>
          <w:rFonts w:ascii="Times New Roman" w:hAnsi="Times New Roman" w:cs="Times New Roman"/>
          <w:sz w:val="24"/>
          <w:szCs w:val="24"/>
        </w:rPr>
        <w:t xml:space="preserve">). Simulation 2 </w:t>
      </w:r>
      <w:r w:rsidR="00370E75">
        <w:rPr>
          <w:rFonts w:ascii="Times New Roman" w:hAnsi="Times New Roman" w:cs="Times New Roman"/>
          <w:sz w:val="24"/>
          <w:szCs w:val="24"/>
        </w:rPr>
        <w:t xml:space="preserve">maintains the bachelor’s degree share increase to 50 percent and adds an </w:t>
      </w:r>
      <w:r>
        <w:rPr>
          <w:rFonts w:ascii="Times New Roman" w:hAnsi="Times New Roman" w:cs="Times New Roman"/>
          <w:sz w:val="24"/>
          <w:szCs w:val="24"/>
        </w:rPr>
        <w:t xml:space="preserve">increase </w:t>
      </w:r>
      <w:r w:rsidR="00370E75">
        <w:rPr>
          <w:rFonts w:ascii="Times New Roman" w:hAnsi="Times New Roman" w:cs="Times New Roman"/>
          <w:sz w:val="24"/>
          <w:szCs w:val="24"/>
        </w:rPr>
        <w:t xml:space="preserve">in </w:t>
      </w:r>
      <w:r>
        <w:rPr>
          <w:rFonts w:ascii="Times New Roman" w:hAnsi="Times New Roman" w:cs="Times New Roman"/>
          <w:sz w:val="24"/>
          <w:szCs w:val="24"/>
        </w:rPr>
        <w:t xml:space="preserve">the share of </w:t>
      </w:r>
      <w:r w:rsidR="00370E75">
        <w:rPr>
          <w:rFonts w:ascii="Times New Roman" w:hAnsi="Times New Roman" w:cs="Times New Roman"/>
          <w:sz w:val="24"/>
          <w:szCs w:val="24"/>
        </w:rPr>
        <w:t xml:space="preserve">the sample with associate degrees </w:t>
      </w:r>
      <w:r>
        <w:rPr>
          <w:rFonts w:ascii="Times New Roman" w:hAnsi="Times New Roman" w:cs="Times New Roman"/>
          <w:sz w:val="24"/>
          <w:szCs w:val="24"/>
        </w:rPr>
        <w:t>to 15</w:t>
      </w:r>
      <w:r w:rsidR="00370E75">
        <w:rPr>
          <w:rFonts w:ascii="Times New Roman" w:hAnsi="Times New Roman" w:cs="Times New Roman"/>
          <w:sz w:val="24"/>
          <w:szCs w:val="24"/>
        </w:rPr>
        <w:t xml:space="preserve"> percent; while the latter is only a 4</w:t>
      </w:r>
      <w:r w:rsidR="00370E75">
        <w:rPr>
          <w:rFonts w:ascii="Times New Roman" w:hAnsi="Times New Roman" w:cs="Times New Roman"/>
          <w:sz w:val="24"/>
          <w:szCs w:val="24"/>
        </w:rPr>
        <w:sym w:font="Symbol" w:char="F02D"/>
      </w:r>
      <w:proofErr w:type="gramStart"/>
      <w:r w:rsidR="00370E75">
        <w:rPr>
          <w:rFonts w:ascii="Times New Roman" w:hAnsi="Times New Roman" w:cs="Times New Roman"/>
          <w:sz w:val="24"/>
          <w:szCs w:val="24"/>
        </w:rPr>
        <w:t>5 percentage</w:t>
      </w:r>
      <w:proofErr w:type="gramEnd"/>
      <w:r w:rsidR="00370E75">
        <w:rPr>
          <w:rFonts w:ascii="Times New Roman" w:hAnsi="Times New Roman" w:cs="Times New Roman"/>
          <w:sz w:val="24"/>
          <w:szCs w:val="24"/>
        </w:rPr>
        <w:t xml:space="preserve"> point bump from 2018 levels, it represents a relatively large proportional increase</w:t>
      </w:r>
      <w:r>
        <w:rPr>
          <w:rFonts w:ascii="Times New Roman" w:hAnsi="Times New Roman" w:cs="Times New Roman"/>
          <w:sz w:val="24"/>
          <w:szCs w:val="24"/>
        </w:rPr>
        <w:t xml:space="preserve">. Simulation 3 increases the </w:t>
      </w:r>
      <w:r w:rsidR="00370E75">
        <w:rPr>
          <w:rFonts w:ascii="Times New Roman" w:hAnsi="Times New Roman" w:cs="Times New Roman"/>
          <w:sz w:val="24"/>
          <w:szCs w:val="24"/>
        </w:rPr>
        <w:t xml:space="preserve">respective </w:t>
      </w:r>
      <w:r>
        <w:rPr>
          <w:rFonts w:ascii="Times New Roman" w:hAnsi="Times New Roman" w:cs="Times New Roman"/>
          <w:sz w:val="24"/>
          <w:szCs w:val="24"/>
        </w:rPr>
        <w:t>share</w:t>
      </w:r>
      <w:r w:rsidR="00370E75">
        <w:rPr>
          <w:rFonts w:ascii="Times New Roman" w:hAnsi="Times New Roman" w:cs="Times New Roman"/>
          <w:sz w:val="24"/>
          <w:szCs w:val="24"/>
        </w:rPr>
        <w:t>s</w:t>
      </w:r>
      <w:r>
        <w:rPr>
          <w:rFonts w:ascii="Times New Roman" w:hAnsi="Times New Roman" w:cs="Times New Roman"/>
          <w:sz w:val="24"/>
          <w:szCs w:val="24"/>
        </w:rPr>
        <w:t xml:space="preserve"> </w:t>
      </w:r>
      <w:r w:rsidR="00370E75">
        <w:rPr>
          <w:rFonts w:ascii="Times New Roman" w:hAnsi="Times New Roman" w:cs="Times New Roman"/>
          <w:sz w:val="24"/>
          <w:szCs w:val="24"/>
        </w:rPr>
        <w:t xml:space="preserve">to </w:t>
      </w:r>
      <w:r>
        <w:rPr>
          <w:rFonts w:ascii="Times New Roman" w:hAnsi="Times New Roman" w:cs="Times New Roman"/>
          <w:sz w:val="24"/>
          <w:szCs w:val="24"/>
        </w:rPr>
        <w:t>60</w:t>
      </w:r>
      <w:r w:rsidR="00370E75">
        <w:rPr>
          <w:rFonts w:ascii="Times New Roman" w:hAnsi="Times New Roman" w:cs="Times New Roman"/>
          <w:sz w:val="24"/>
          <w:szCs w:val="24"/>
        </w:rPr>
        <w:t xml:space="preserve"> and 20 percent</w:t>
      </w:r>
      <w:r>
        <w:rPr>
          <w:rFonts w:ascii="Times New Roman" w:hAnsi="Times New Roman" w:cs="Times New Roman"/>
          <w:sz w:val="24"/>
          <w:szCs w:val="24"/>
        </w:rPr>
        <w:t xml:space="preserve">. This requires an additional 21 million more </w:t>
      </w:r>
      <w:r w:rsidR="00370E75">
        <w:rPr>
          <w:rFonts w:ascii="Times New Roman" w:hAnsi="Times New Roman" w:cs="Times New Roman"/>
          <w:sz w:val="24"/>
          <w:szCs w:val="24"/>
        </w:rPr>
        <w:t xml:space="preserve">prime-age </w:t>
      </w:r>
      <w:r>
        <w:rPr>
          <w:rFonts w:ascii="Times New Roman" w:hAnsi="Times New Roman" w:cs="Times New Roman"/>
          <w:sz w:val="24"/>
          <w:szCs w:val="24"/>
        </w:rPr>
        <w:t xml:space="preserve">adults to hold a </w:t>
      </w:r>
      <w:r w:rsidR="00370E75">
        <w:rPr>
          <w:rFonts w:ascii="Times New Roman" w:hAnsi="Times New Roman" w:cs="Times New Roman"/>
          <w:sz w:val="24"/>
          <w:szCs w:val="24"/>
        </w:rPr>
        <w:t xml:space="preserve">bachelor’s </w:t>
      </w:r>
      <w:r>
        <w:rPr>
          <w:rFonts w:ascii="Times New Roman" w:hAnsi="Times New Roman" w:cs="Times New Roman"/>
          <w:sz w:val="24"/>
          <w:szCs w:val="24"/>
        </w:rPr>
        <w:t xml:space="preserve">degree and 9.9 million more to hold an </w:t>
      </w:r>
      <w:r w:rsidR="00370E75">
        <w:rPr>
          <w:rFonts w:ascii="Times New Roman" w:hAnsi="Times New Roman" w:cs="Times New Roman"/>
          <w:sz w:val="24"/>
          <w:szCs w:val="24"/>
        </w:rPr>
        <w:t xml:space="preserve">associate degree, which are ambitiously large </w:t>
      </w:r>
      <w:r w:rsidR="00370E75">
        <w:rPr>
          <w:rFonts w:ascii="Times New Roman" w:hAnsi="Times New Roman" w:cs="Times New Roman"/>
          <w:sz w:val="24"/>
          <w:szCs w:val="24"/>
        </w:rPr>
        <w:lastRenderedPageBreak/>
        <w:t>gains</w:t>
      </w:r>
      <w:r w:rsidR="006C5E69">
        <w:rPr>
          <w:rFonts w:ascii="Times New Roman" w:hAnsi="Times New Roman" w:cs="Times New Roman"/>
          <w:sz w:val="24"/>
          <w:szCs w:val="24"/>
        </w:rPr>
        <w:t>; even among the FTFY sample, the respective increases are 10 million and 6.2 million (group A, Table 2)</w:t>
      </w:r>
      <w:r>
        <w:rPr>
          <w:rFonts w:ascii="Times New Roman" w:hAnsi="Times New Roman" w:cs="Times New Roman"/>
          <w:sz w:val="24"/>
          <w:szCs w:val="24"/>
        </w:rPr>
        <w:t xml:space="preserve">. As described above, </w:t>
      </w:r>
      <w:r w:rsidR="00B4019D">
        <w:rPr>
          <w:rFonts w:ascii="Times New Roman" w:hAnsi="Times New Roman" w:cs="Times New Roman"/>
          <w:sz w:val="24"/>
          <w:szCs w:val="24"/>
        </w:rPr>
        <w:t>the</w:t>
      </w:r>
      <w:r>
        <w:rPr>
          <w:rFonts w:ascii="Times New Roman" w:hAnsi="Times New Roman" w:cs="Times New Roman"/>
          <w:sz w:val="24"/>
          <w:szCs w:val="24"/>
        </w:rPr>
        <w:t xml:space="preserve"> simulation </w:t>
      </w:r>
      <w:r w:rsidR="00B4019D">
        <w:rPr>
          <w:rFonts w:ascii="Times New Roman" w:hAnsi="Times New Roman" w:cs="Times New Roman"/>
          <w:sz w:val="24"/>
          <w:szCs w:val="24"/>
        </w:rPr>
        <w:t xml:space="preserve">imparts </w:t>
      </w:r>
      <w:r>
        <w:rPr>
          <w:rFonts w:ascii="Times New Roman" w:hAnsi="Times New Roman" w:cs="Times New Roman"/>
          <w:sz w:val="24"/>
          <w:szCs w:val="24"/>
        </w:rPr>
        <w:t xml:space="preserve">new degrees to the current population of high school </w:t>
      </w:r>
      <w:r w:rsidR="00B4019D">
        <w:rPr>
          <w:rFonts w:ascii="Times New Roman" w:hAnsi="Times New Roman" w:cs="Times New Roman"/>
          <w:sz w:val="24"/>
          <w:szCs w:val="24"/>
        </w:rPr>
        <w:t>graduates</w:t>
      </w:r>
      <w:r>
        <w:rPr>
          <w:rFonts w:ascii="Times New Roman" w:hAnsi="Times New Roman" w:cs="Times New Roman"/>
          <w:sz w:val="24"/>
          <w:szCs w:val="24"/>
        </w:rPr>
        <w:t xml:space="preserve">, which </w:t>
      </w:r>
      <w:r w:rsidR="00B4019D">
        <w:rPr>
          <w:rFonts w:ascii="Times New Roman" w:hAnsi="Times New Roman" w:cs="Times New Roman"/>
          <w:sz w:val="24"/>
          <w:szCs w:val="24"/>
        </w:rPr>
        <w:t>in</w:t>
      </w:r>
      <w:r>
        <w:rPr>
          <w:rFonts w:ascii="Times New Roman" w:hAnsi="Times New Roman" w:cs="Times New Roman"/>
          <w:sz w:val="24"/>
          <w:szCs w:val="24"/>
        </w:rPr>
        <w:t xml:space="preserve"> </w:t>
      </w:r>
      <w:r w:rsidR="00B4019D">
        <w:rPr>
          <w:rFonts w:ascii="Times New Roman" w:hAnsi="Times New Roman" w:cs="Times New Roman"/>
          <w:sz w:val="24"/>
          <w:szCs w:val="24"/>
        </w:rPr>
        <w:t>2018 composed</w:t>
      </w:r>
      <w:r>
        <w:rPr>
          <w:rFonts w:ascii="Times New Roman" w:hAnsi="Times New Roman" w:cs="Times New Roman"/>
          <w:sz w:val="24"/>
          <w:szCs w:val="24"/>
        </w:rPr>
        <w:t xml:space="preserve"> 40.1</w:t>
      </w:r>
      <w:r w:rsidR="00B4019D">
        <w:rPr>
          <w:rFonts w:ascii="Times New Roman" w:hAnsi="Times New Roman" w:cs="Times New Roman"/>
          <w:sz w:val="24"/>
          <w:szCs w:val="24"/>
        </w:rPr>
        <w:t xml:space="preserve"> percent</w:t>
      </w:r>
      <w:r>
        <w:rPr>
          <w:rFonts w:ascii="Times New Roman" w:hAnsi="Times New Roman" w:cs="Times New Roman"/>
          <w:sz w:val="24"/>
          <w:szCs w:val="24"/>
        </w:rPr>
        <w:t xml:space="preserve"> </w:t>
      </w:r>
      <w:r w:rsidR="00B4019D">
        <w:rPr>
          <w:rFonts w:ascii="Times New Roman" w:hAnsi="Times New Roman" w:cs="Times New Roman"/>
          <w:sz w:val="24"/>
          <w:szCs w:val="24"/>
        </w:rPr>
        <w:t xml:space="preserve">(41.4 million) </w:t>
      </w:r>
      <w:r>
        <w:rPr>
          <w:rFonts w:ascii="Times New Roman" w:hAnsi="Times New Roman" w:cs="Times New Roman"/>
          <w:sz w:val="24"/>
          <w:szCs w:val="24"/>
        </w:rPr>
        <w:t xml:space="preserve">of </w:t>
      </w:r>
      <w:r w:rsidR="00B4019D">
        <w:rPr>
          <w:rFonts w:ascii="Times New Roman" w:hAnsi="Times New Roman" w:cs="Times New Roman"/>
          <w:sz w:val="24"/>
          <w:szCs w:val="24"/>
        </w:rPr>
        <w:t xml:space="preserve">prime-age adults </w:t>
      </w:r>
      <w:r>
        <w:rPr>
          <w:rFonts w:ascii="Times New Roman" w:hAnsi="Times New Roman" w:cs="Times New Roman"/>
          <w:sz w:val="24"/>
          <w:szCs w:val="24"/>
        </w:rPr>
        <w:t>and 37.</w:t>
      </w:r>
      <w:r w:rsidR="00B4019D">
        <w:rPr>
          <w:rFonts w:ascii="Times New Roman" w:hAnsi="Times New Roman" w:cs="Times New Roman"/>
          <w:sz w:val="24"/>
          <w:szCs w:val="24"/>
        </w:rPr>
        <w:t>7 percent</w:t>
      </w:r>
      <w:r>
        <w:rPr>
          <w:rFonts w:ascii="Times New Roman" w:hAnsi="Times New Roman" w:cs="Times New Roman"/>
          <w:sz w:val="24"/>
          <w:szCs w:val="24"/>
        </w:rPr>
        <w:t xml:space="preserve"> </w:t>
      </w:r>
      <w:r w:rsidR="00B4019D">
        <w:rPr>
          <w:rFonts w:ascii="Times New Roman" w:hAnsi="Times New Roman" w:cs="Times New Roman"/>
          <w:sz w:val="24"/>
          <w:szCs w:val="24"/>
        </w:rPr>
        <w:t xml:space="preserve">(24.8 million adults) </w:t>
      </w:r>
      <w:r>
        <w:rPr>
          <w:rFonts w:ascii="Times New Roman" w:hAnsi="Times New Roman" w:cs="Times New Roman"/>
          <w:sz w:val="24"/>
          <w:szCs w:val="24"/>
        </w:rPr>
        <w:t xml:space="preserve">of </w:t>
      </w:r>
      <w:r w:rsidR="00B4019D">
        <w:rPr>
          <w:rFonts w:ascii="Times New Roman" w:hAnsi="Times New Roman" w:cs="Times New Roman"/>
          <w:sz w:val="24"/>
          <w:szCs w:val="24"/>
        </w:rPr>
        <w:t>prime-age</w:t>
      </w:r>
      <w:r>
        <w:rPr>
          <w:rFonts w:ascii="Times New Roman" w:hAnsi="Times New Roman" w:cs="Times New Roman"/>
          <w:sz w:val="24"/>
          <w:szCs w:val="24"/>
        </w:rPr>
        <w:t xml:space="preserve"> FTFY work</w:t>
      </w:r>
      <w:r w:rsidR="00B4019D">
        <w:rPr>
          <w:rFonts w:ascii="Times New Roman" w:hAnsi="Times New Roman" w:cs="Times New Roman"/>
          <w:sz w:val="24"/>
          <w:szCs w:val="24"/>
        </w:rPr>
        <w:t>ers.</w:t>
      </w:r>
      <w:r w:rsidR="00D2559F">
        <w:rPr>
          <w:rStyle w:val="FootnoteReference"/>
          <w:rFonts w:ascii="Times New Roman" w:hAnsi="Times New Roman" w:cs="Times New Roman"/>
          <w:sz w:val="24"/>
          <w:szCs w:val="24"/>
        </w:rPr>
        <w:footnoteReference w:id="12"/>
      </w:r>
      <w:r w:rsidR="00AF7C1D">
        <w:rPr>
          <w:rFonts w:ascii="Times New Roman" w:hAnsi="Times New Roman" w:cs="Times New Roman"/>
          <w:sz w:val="24"/>
          <w:szCs w:val="24"/>
        </w:rPr>
        <w:t xml:space="preserve"> </w:t>
      </w:r>
    </w:p>
    <w:p w14:paraId="7F5D8FB1" w14:textId="517D6D65" w:rsidR="003C0AE9" w:rsidRDefault="00AF7C1D" w:rsidP="00E34AE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Table 3 </w:t>
      </w:r>
      <w:r w:rsidR="003C0AE9">
        <w:rPr>
          <w:rFonts w:ascii="Times New Roman" w:hAnsi="Times New Roman" w:cs="Times New Roman"/>
          <w:sz w:val="24"/>
          <w:szCs w:val="24"/>
        </w:rPr>
        <w:t>illustrates how</w:t>
      </w:r>
      <w:r w:rsidR="00756855">
        <w:rPr>
          <w:rFonts w:ascii="Times New Roman" w:hAnsi="Times New Roman" w:cs="Times New Roman"/>
          <w:sz w:val="24"/>
          <w:szCs w:val="24"/>
        </w:rPr>
        <w:t xml:space="preserve"> one of our counterfactual simulations affects the earnings distribution</w:t>
      </w:r>
      <w:r w:rsidR="00560DC2">
        <w:rPr>
          <w:rFonts w:ascii="Times New Roman" w:hAnsi="Times New Roman" w:cs="Times New Roman"/>
          <w:sz w:val="24"/>
          <w:szCs w:val="24"/>
        </w:rPr>
        <w:t xml:space="preserve">. It reports </w:t>
      </w:r>
      <w:r w:rsidR="003C0AE9">
        <w:rPr>
          <w:rFonts w:ascii="Times New Roman" w:hAnsi="Times New Roman" w:cs="Times New Roman"/>
          <w:sz w:val="24"/>
          <w:szCs w:val="24"/>
        </w:rPr>
        <w:t xml:space="preserve">both </w:t>
      </w:r>
      <w:r w:rsidR="00CF09A5">
        <w:rPr>
          <w:rFonts w:ascii="Times New Roman" w:hAnsi="Times New Roman" w:cs="Times New Roman"/>
          <w:sz w:val="24"/>
          <w:szCs w:val="24"/>
        </w:rPr>
        <w:t xml:space="preserve">observed </w:t>
      </w:r>
      <w:r>
        <w:rPr>
          <w:rFonts w:ascii="Times New Roman" w:hAnsi="Times New Roman" w:cs="Times New Roman"/>
          <w:sz w:val="24"/>
          <w:szCs w:val="24"/>
        </w:rPr>
        <w:t xml:space="preserve">earnings </w:t>
      </w:r>
      <w:r w:rsidR="00CF09A5">
        <w:rPr>
          <w:rFonts w:ascii="Times New Roman" w:hAnsi="Times New Roman" w:cs="Times New Roman"/>
          <w:sz w:val="24"/>
          <w:szCs w:val="24"/>
        </w:rPr>
        <w:t xml:space="preserve">percentiles and simulated </w:t>
      </w:r>
      <w:r w:rsidR="003C0AE9">
        <w:rPr>
          <w:rFonts w:ascii="Times New Roman" w:hAnsi="Times New Roman" w:cs="Times New Roman"/>
          <w:sz w:val="24"/>
          <w:szCs w:val="24"/>
        </w:rPr>
        <w:t xml:space="preserve">earnings </w:t>
      </w:r>
      <w:r w:rsidR="00DF21BA">
        <w:rPr>
          <w:rFonts w:ascii="Times New Roman" w:hAnsi="Times New Roman" w:cs="Times New Roman"/>
          <w:sz w:val="24"/>
          <w:szCs w:val="24"/>
        </w:rPr>
        <w:t>percentiles</w:t>
      </w:r>
      <w:r w:rsidR="00560DC2">
        <w:rPr>
          <w:rFonts w:ascii="Times New Roman" w:hAnsi="Times New Roman" w:cs="Times New Roman"/>
          <w:sz w:val="24"/>
          <w:szCs w:val="24"/>
        </w:rPr>
        <w:t>,</w:t>
      </w:r>
      <w:r w:rsidR="00FD540E">
        <w:rPr>
          <w:rFonts w:ascii="Times New Roman" w:hAnsi="Times New Roman" w:cs="Times New Roman"/>
          <w:sz w:val="24"/>
          <w:szCs w:val="24"/>
        </w:rPr>
        <w:t xml:space="preserve"> for each simulation,</w:t>
      </w:r>
      <w:r w:rsidR="00DF21BA">
        <w:rPr>
          <w:rFonts w:ascii="Times New Roman" w:hAnsi="Times New Roman" w:cs="Times New Roman"/>
          <w:sz w:val="24"/>
          <w:szCs w:val="24"/>
        </w:rPr>
        <w:t xml:space="preserve"> using the distribution</w:t>
      </w:r>
      <w:r w:rsidR="003E6328">
        <w:rPr>
          <w:rFonts w:ascii="Times New Roman" w:hAnsi="Times New Roman" w:cs="Times New Roman"/>
          <w:sz w:val="24"/>
          <w:szCs w:val="24"/>
        </w:rPr>
        <w:t xml:space="preserve"> method</w:t>
      </w:r>
      <w:r w:rsidR="00560DC2">
        <w:rPr>
          <w:rFonts w:ascii="Times New Roman" w:hAnsi="Times New Roman" w:cs="Times New Roman"/>
          <w:sz w:val="24"/>
          <w:szCs w:val="24"/>
        </w:rPr>
        <w:t xml:space="preserve">, </w:t>
      </w:r>
      <w:r w:rsidR="00CF09A5">
        <w:rPr>
          <w:rFonts w:ascii="Times New Roman" w:hAnsi="Times New Roman" w:cs="Times New Roman"/>
          <w:sz w:val="24"/>
          <w:szCs w:val="24"/>
        </w:rPr>
        <w:t xml:space="preserve">for </w:t>
      </w:r>
      <w:r w:rsidR="003C0AE9">
        <w:rPr>
          <w:rFonts w:ascii="Times New Roman" w:hAnsi="Times New Roman" w:cs="Times New Roman"/>
          <w:sz w:val="24"/>
          <w:szCs w:val="24"/>
        </w:rPr>
        <w:t>all</w:t>
      </w:r>
      <w:r w:rsidR="00CF09A5">
        <w:rPr>
          <w:rFonts w:ascii="Times New Roman" w:hAnsi="Times New Roman" w:cs="Times New Roman"/>
          <w:sz w:val="24"/>
          <w:szCs w:val="24"/>
        </w:rPr>
        <w:t xml:space="preserve"> FTFY </w:t>
      </w:r>
      <w:r w:rsidR="003C0AE9">
        <w:rPr>
          <w:rFonts w:ascii="Times New Roman" w:hAnsi="Times New Roman" w:cs="Times New Roman"/>
          <w:sz w:val="24"/>
          <w:szCs w:val="24"/>
        </w:rPr>
        <w:t>workers</w:t>
      </w:r>
      <w:r w:rsidR="00CF09A5">
        <w:rPr>
          <w:rFonts w:ascii="Times New Roman" w:hAnsi="Times New Roman" w:cs="Times New Roman"/>
          <w:sz w:val="24"/>
          <w:szCs w:val="24"/>
        </w:rPr>
        <w:t xml:space="preserve">, FTFY men, </w:t>
      </w:r>
      <w:r w:rsidR="00595168">
        <w:rPr>
          <w:rFonts w:ascii="Times New Roman" w:hAnsi="Times New Roman" w:cs="Times New Roman"/>
          <w:sz w:val="24"/>
          <w:szCs w:val="24"/>
        </w:rPr>
        <w:t xml:space="preserve">FTFY women, </w:t>
      </w:r>
      <w:r w:rsidR="00CF09A5">
        <w:rPr>
          <w:rFonts w:ascii="Times New Roman" w:hAnsi="Times New Roman" w:cs="Times New Roman"/>
          <w:sz w:val="24"/>
          <w:szCs w:val="24"/>
        </w:rPr>
        <w:t>and all men.</w:t>
      </w:r>
      <w:r>
        <w:rPr>
          <w:rFonts w:ascii="Times New Roman" w:hAnsi="Times New Roman" w:cs="Times New Roman"/>
          <w:sz w:val="24"/>
          <w:szCs w:val="24"/>
        </w:rPr>
        <w:t xml:space="preserve"> </w:t>
      </w:r>
      <w:r w:rsidR="00FD540E">
        <w:rPr>
          <w:rFonts w:ascii="Times New Roman" w:hAnsi="Times New Roman" w:cs="Times New Roman"/>
          <w:sz w:val="24"/>
          <w:szCs w:val="24"/>
        </w:rPr>
        <w:t>T</w:t>
      </w:r>
      <w:r w:rsidR="003C0AE9">
        <w:rPr>
          <w:rFonts w:ascii="Times New Roman" w:hAnsi="Times New Roman" w:cs="Times New Roman"/>
          <w:sz w:val="24"/>
          <w:szCs w:val="24"/>
        </w:rPr>
        <w:t>he simulation</w:t>
      </w:r>
      <w:r w:rsidR="00FD540E">
        <w:rPr>
          <w:rFonts w:ascii="Times New Roman" w:hAnsi="Times New Roman" w:cs="Times New Roman"/>
          <w:sz w:val="24"/>
          <w:szCs w:val="24"/>
        </w:rPr>
        <w:t>s</w:t>
      </w:r>
      <w:r w:rsidR="003C0AE9">
        <w:rPr>
          <w:rFonts w:ascii="Times New Roman" w:hAnsi="Times New Roman" w:cs="Times New Roman"/>
          <w:sz w:val="24"/>
          <w:szCs w:val="24"/>
        </w:rPr>
        <w:t xml:space="preserve"> raise earnings in all </w:t>
      </w:r>
      <w:r w:rsidR="000C6B3C">
        <w:rPr>
          <w:rFonts w:ascii="Times New Roman" w:hAnsi="Times New Roman" w:cs="Times New Roman"/>
          <w:sz w:val="24"/>
          <w:szCs w:val="24"/>
        </w:rPr>
        <w:t>four</w:t>
      </w:r>
      <w:r w:rsidR="003C0AE9">
        <w:rPr>
          <w:rFonts w:ascii="Times New Roman" w:hAnsi="Times New Roman" w:cs="Times New Roman"/>
          <w:sz w:val="24"/>
          <w:szCs w:val="24"/>
        </w:rPr>
        <w:t xml:space="preserve"> samples for roughly the lower three-quarters</w:t>
      </w:r>
      <w:r w:rsidR="00A60137">
        <w:rPr>
          <w:rFonts w:ascii="Times New Roman" w:hAnsi="Times New Roman" w:cs="Times New Roman"/>
          <w:sz w:val="24"/>
          <w:szCs w:val="24"/>
        </w:rPr>
        <w:t xml:space="preserve"> of</w:t>
      </w:r>
      <w:r w:rsidR="003C0AE9">
        <w:rPr>
          <w:rFonts w:ascii="Times New Roman" w:hAnsi="Times New Roman" w:cs="Times New Roman"/>
          <w:sz w:val="24"/>
          <w:szCs w:val="24"/>
        </w:rPr>
        <w:t xml:space="preserve"> the earnings distribution, with the strongest gains in the middle. The highest percentiles, however, show much smaller gains, or even losses</w:t>
      </w:r>
      <w:r w:rsidR="00FD540E">
        <w:rPr>
          <w:rFonts w:ascii="Times New Roman" w:hAnsi="Times New Roman" w:cs="Times New Roman"/>
          <w:sz w:val="24"/>
          <w:szCs w:val="24"/>
        </w:rPr>
        <w:t xml:space="preserve"> among FTFY men</w:t>
      </w:r>
      <w:r w:rsidR="003C0AE9">
        <w:rPr>
          <w:rFonts w:ascii="Times New Roman" w:hAnsi="Times New Roman" w:cs="Times New Roman"/>
          <w:sz w:val="24"/>
          <w:szCs w:val="24"/>
        </w:rPr>
        <w:t>, due to the general equilibrium effects that lower the college wage premium.</w:t>
      </w:r>
    </w:p>
    <w:p w14:paraId="55C117AA" w14:textId="26539410" w:rsidR="004D25C5" w:rsidRDefault="00560DC2" w:rsidP="00E34AE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are particularly interested, however, in how </w:t>
      </w:r>
      <w:r w:rsidR="003C0AE9">
        <w:rPr>
          <w:rFonts w:ascii="Times New Roman" w:hAnsi="Times New Roman" w:cs="Times New Roman"/>
          <w:sz w:val="24"/>
          <w:szCs w:val="24"/>
        </w:rPr>
        <w:t xml:space="preserve">these changes affect </w:t>
      </w:r>
      <w:r w:rsidR="008B545D">
        <w:rPr>
          <w:rFonts w:ascii="Times New Roman" w:hAnsi="Times New Roman" w:cs="Times New Roman"/>
          <w:sz w:val="24"/>
          <w:szCs w:val="24"/>
        </w:rPr>
        <w:t xml:space="preserve">distributional outcomes. Table 4a thus reports </w:t>
      </w:r>
      <w:r w:rsidR="003C0AE9">
        <w:rPr>
          <w:rFonts w:ascii="Times New Roman" w:hAnsi="Times New Roman" w:cs="Times New Roman"/>
          <w:sz w:val="24"/>
          <w:szCs w:val="24"/>
        </w:rPr>
        <w:t>percentile earnings ratios</w:t>
      </w:r>
      <w:r w:rsidR="008B545D">
        <w:rPr>
          <w:rFonts w:ascii="Times New Roman" w:hAnsi="Times New Roman" w:cs="Times New Roman"/>
          <w:sz w:val="24"/>
          <w:szCs w:val="24"/>
        </w:rPr>
        <w:t xml:space="preserve"> for</w:t>
      </w:r>
      <w:r w:rsidR="003C0AE9">
        <w:rPr>
          <w:rFonts w:ascii="Times New Roman" w:hAnsi="Times New Roman" w:cs="Times New Roman"/>
          <w:sz w:val="24"/>
          <w:szCs w:val="24"/>
        </w:rPr>
        <w:t xml:space="preserve"> the sample of </w:t>
      </w:r>
      <w:r w:rsidR="000C6B3C">
        <w:rPr>
          <w:rFonts w:ascii="Times New Roman" w:hAnsi="Times New Roman" w:cs="Times New Roman"/>
          <w:sz w:val="24"/>
          <w:szCs w:val="24"/>
        </w:rPr>
        <w:t xml:space="preserve">all prime-age </w:t>
      </w:r>
      <w:r w:rsidR="003C0AE9">
        <w:rPr>
          <w:rFonts w:ascii="Times New Roman" w:hAnsi="Times New Roman" w:cs="Times New Roman"/>
          <w:sz w:val="24"/>
          <w:szCs w:val="24"/>
        </w:rPr>
        <w:t>FTFY workers, includ</w:t>
      </w:r>
      <w:r w:rsidR="008B545D">
        <w:rPr>
          <w:rFonts w:ascii="Times New Roman" w:hAnsi="Times New Roman" w:cs="Times New Roman"/>
          <w:sz w:val="24"/>
          <w:szCs w:val="24"/>
        </w:rPr>
        <w:t>ing</w:t>
      </w:r>
      <w:r w:rsidR="003C0AE9">
        <w:rPr>
          <w:rFonts w:ascii="Times New Roman" w:hAnsi="Times New Roman" w:cs="Times New Roman"/>
          <w:sz w:val="24"/>
          <w:szCs w:val="24"/>
        </w:rPr>
        <w:t xml:space="preserve"> changes </w:t>
      </w:r>
      <w:r w:rsidR="008B545D">
        <w:rPr>
          <w:rFonts w:ascii="Times New Roman" w:hAnsi="Times New Roman" w:cs="Times New Roman"/>
          <w:sz w:val="24"/>
          <w:szCs w:val="24"/>
        </w:rPr>
        <w:t xml:space="preserve">based on all </w:t>
      </w:r>
      <w:r w:rsidR="003C0AE9">
        <w:rPr>
          <w:rFonts w:ascii="Times New Roman" w:hAnsi="Times New Roman" w:cs="Times New Roman"/>
          <w:sz w:val="24"/>
          <w:szCs w:val="24"/>
        </w:rPr>
        <w:t>three simulations</w:t>
      </w:r>
      <w:r w:rsidR="008B545D">
        <w:rPr>
          <w:rFonts w:ascii="Times New Roman" w:hAnsi="Times New Roman" w:cs="Times New Roman"/>
          <w:sz w:val="24"/>
          <w:szCs w:val="24"/>
        </w:rPr>
        <w:t>,</w:t>
      </w:r>
      <w:r w:rsidR="004D25C5">
        <w:rPr>
          <w:rFonts w:ascii="Times New Roman" w:hAnsi="Times New Roman" w:cs="Times New Roman"/>
          <w:sz w:val="24"/>
          <w:szCs w:val="24"/>
        </w:rPr>
        <w:t xml:space="preserve"> according to </w:t>
      </w:r>
      <w:r w:rsidR="00D82C90">
        <w:rPr>
          <w:rFonts w:ascii="Times New Roman" w:hAnsi="Times New Roman" w:cs="Times New Roman"/>
          <w:sz w:val="24"/>
          <w:szCs w:val="24"/>
        </w:rPr>
        <w:t>both</w:t>
      </w:r>
      <w:r w:rsidR="004D25C5">
        <w:rPr>
          <w:rFonts w:ascii="Times New Roman" w:hAnsi="Times New Roman" w:cs="Times New Roman"/>
          <w:sz w:val="24"/>
          <w:szCs w:val="24"/>
        </w:rPr>
        <w:t xml:space="preserve"> the distribution and causal parameter</w:t>
      </w:r>
      <w:r w:rsidR="00D82C90">
        <w:rPr>
          <w:rFonts w:ascii="Times New Roman" w:hAnsi="Times New Roman" w:cs="Times New Roman"/>
          <w:sz w:val="24"/>
          <w:szCs w:val="24"/>
        </w:rPr>
        <w:t xml:space="preserve"> methods</w:t>
      </w:r>
      <w:r w:rsidR="008B71C7">
        <w:rPr>
          <w:rFonts w:ascii="Times New Roman" w:hAnsi="Times New Roman" w:cs="Times New Roman"/>
          <w:sz w:val="24"/>
          <w:szCs w:val="24"/>
        </w:rPr>
        <w:t xml:space="preserve">. </w:t>
      </w:r>
      <w:r w:rsidR="008E0FC3">
        <w:rPr>
          <w:rFonts w:ascii="Times New Roman" w:hAnsi="Times New Roman" w:cs="Times New Roman"/>
          <w:sz w:val="24"/>
          <w:szCs w:val="24"/>
        </w:rPr>
        <w:t xml:space="preserve">As </w:t>
      </w:r>
      <w:proofErr w:type="gramStart"/>
      <w:r w:rsidR="008E0FC3">
        <w:rPr>
          <w:rFonts w:ascii="Times New Roman" w:hAnsi="Times New Roman" w:cs="Times New Roman"/>
          <w:sz w:val="24"/>
          <w:szCs w:val="24"/>
        </w:rPr>
        <w:t>can be seen</w:t>
      </w:r>
      <w:proofErr w:type="gramEnd"/>
      <w:r w:rsidR="008E0FC3">
        <w:rPr>
          <w:rFonts w:ascii="Times New Roman" w:hAnsi="Times New Roman" w:cs="Times New Roman"/>
          <w:sz w:val="24"/>
          <w:szCs w:val="24"/>
        </w:rPr>
        <w:t xml:space="preserve"> in </w:t>
      </w:r>
      <w:r w:rsidR="000C6B3C">
        <w:rPr>
          <w:rFonts w:ascii="Times New Roman" w:hAnsi="Times New Roman" w:cs="Times New Roman"/>
          <w:sz w:val="24"/>
          <w:szCs w:val="24"/>
        </w:rPr>
        <w:t>the table</w:t>
      </w:r>
      <w:r w:rsidR="008E0FC3">
        <w:rPr>
          <w:rFonts w:ascii="Times New Roman" w:hAnsi="Times New Roman" w:cs="Times New Roman"/>
          <w:sz w:val="24"/>
          <w:szCs w:val="24"/>
        </w:rPr>
        <w:t xml:space="preserve">, there were large increases in the 90/10, 90/25, and 90/50 </w:t>
      </w:r>
      <w:r w:rsidR="008B545D">
        <w:rPr>
          <w:rFonts w:ascii="Times New Roman" w:hAnsi="Times New Roman" w:cs="Times New Roman"/>
          <w:sz w:val="24"/>
          <w:szCs w:val="24"/>
        </w:rPr>
        <w:t xml:space="preserve">percentile </w:t>
      </w:r>
      <w:r w:rsidR="008E0FC3">
        <w:rPr>
          <w:rFonts w:ascii="Times New Roman" w:hAnsi="Times New Roman" w:cs="Times New Roman"/>
          <w:sz w:val="24"/>
          <w:szCs w:val="24"/>
        </w:rPr>
        <w:t>earnin</w:t>
      </w:r>
      <w:r w:rsidR="004D25C5">
        <w:rPr>
          <w:rFonts w:ascii="Times New Roman" w:hAnsi="Times New Roman" w:cs="Times New Roman"/>
          <w:sz w:val="24"/>
          <w:szCs w:val="24"/>
        </w:rPr>
        <w:t>gs ratios between 1979 and 2018</w:t>
      </w:r>
      <w:r w:rsidR="008B545D">
        <w:rPr>
          <w:rFonts w:ascii="Times New Roman" w:hAnsi="Times New Roman" w:cs="Times New Roman"/>
          <w:sz w:val="24"/>
          <w:szCs w:val="24"/>
        </w:rPr>
        <w:t>, reflecting disproportionate growth at the top of the distribution (</w:t>
      </w:r>
      <w:r w:rsidR="004D25C5">
        <w:rPr>
          <w:rFonts w:ascii="Times New Roman" w:hAnsi="Times New Roman" w:cs="Times New Roman"/>
          <w:sz w:val="24"/>
          <w:szCs w:val="24"/>
        </w:rPr>
        <w:t xml:space="preserve">Table </w:t>
      </w:r>
      <w:r w:rsidR="000C6B3C">
        <w:rPr>
          <w:rFonts w:ascii="Times New Roman" w:hAnsi="Times New Roman" w:cs="Times New Roman"/>
          <w:sz w:val="24"/>
          <w:szCs w:val="24"/>
        </w:rPr>
        <w:t>1</w:t>
      </w:r>
      <w:r w:rsidR="008B545D">
        <w:rPr>
          <w:rFonts w:ascii="Times New Roman" w:hAnsi="Times New Roman" w:cs="Times New Roman"/>
          <w:sz w:val="24"/>
          <w:szCs w:val="24"/>
        </w:rPr>
        <w:t>)</w:t>
      </w:r>
      <w:r w:rsidR="008E0FC3">
        <w:rPr>
          <w:rFonts w:ascii="Times New Roman" w:hAnsi="Times New Roman" w:cs="Times New Roman"/>
          <w:sz w:val="24"/>
          <w:szCs w:val="24"/>
        </w:rPr>
        <w:t xml:space="preserve">. </w:t>
      </w:r>
      <w:r w:rsidR="008B545D">
        <w:rPr>
          <w:rFonts w:ascii="Times New Roman" w:hAnsi="Times New Roman" w:cs="Times New Roman"/>
          <w:sz w:val="24"/>
          <w:szCs w:val="24"/>
        </w:rPr>
        <w:t>However, t</w:t>
      </w:r>
      <w:r w:rsidR="008E0FC3">
        <w:rPr>
          <w:rFonts w:ascii="Times New Roman" w:hAnsi="Times New Roman" w:cs="Times New Roman"/>
          <w:sz w:val="24"/>
          <w:szCs w:val="24"/>
        </w:rPr>
        <w:t xml:space="preserve">here was actually a </w:t>
      </w:r>
      <w:r w:rsidR="008B545D">
        <w:rPr>
          <w:rFonts w:ascii="Times New Roman" w:hAnsi="Times New Roman" w:cs="Times New Roman"/>
          <w:sz w:val="24"/>
          <w:szCs w:val="24"/>
        </w:rPr>
        <w:t xml:space="preserve">slight </w:t>
      </w:r>
      <w:r w:rsidR="008E0FC3">
        <w:rPr>
          <w:rFonts w:ascii="Times New Roman" w:hAnsi="Times New Roman" w:cs="Times New Roman"/>
          <w:sz w:val="24"/>
          <w:szCs w:val="24"/>
        </w:rPr>
        <w:t xml:space="preserve">decrease in the 50/10 ratio over this period. </w:t>
      </w:r>
    </w:p>
    <w:p w14:paraId="3378CCF1" w14:textId="0C980EC3" w:rsidR="004D25C5" w:rsidRDefault="00F760CD" w:rsidP="004D25C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As the lower panel of Table 4a indicates, t</w:t>
      </w:r>
      <w:r w:rsidR="004D25C5">
        <w:rPr>
          <w:rFonts w:ascii="Times New Roman" w:hAnsi="Times New Roman" w:cs="Times New Roman"/>
          <w:sz w:val="24"/>
          <w:szCs w:val="24"/>
        </w:rPr>
        <w:t xml:space="preserve">he simulation </w:t>
      </w:r>
      <w:r w:rsidR="00795D57">
        <w:rPr>
          <w:rFonts w:ascii="Times New Roman" w:hAnsi="Times New Roman" w:cs="Times New Roman"/>
          <w:sz w:val="24"/>
          <w:szCs w:val="24"/>
        </w:rPr>
        <w:t>of</w:t>
      </w:r>
      <w:r w:rsidR="008E0FC3">
        <w:rPr>
          <w:rFonts w:ascii="Times New Roman" w:hAnsi="Times New Roman" w:cs="Times New Roman"/>
          <w:sz w:val="24"/>
          <w:szCs w:val="24"/>
        </w:rPr>
        <w:t xml:space="preserve"> </w:t>
      </w:r>
      <w:r w:rsidR="00795D57">
        <w:rPr>
          <w:rFonts w:ascii="Times New Roman" w:hAnsi="Times New Roman" w:cs="Times New Roman"/>
          <w:sz w:val="24"/>
          <w:szCs w:val="24"/>
        </w:rPr>
        <w:t xml:space="preserve">a </w:t>
      </w:r>
      <w:r w:rsidR="008E0FC3">
        <w:rPr>
          <w:rFonts w:ascii="Times New Roman" w:hAnsi="Times New Roman" w:cs="Times New Roman"/>
          <w:sz w:val="24"/>
          <w:szCs w:val="24"/>
        </w:rPr>
        <w:t xml:space="preserve">sizable increase in the rate of </w:t>
      </w:r>
      <w:r w:rsidR="00795D57">
        <w:rPr>
          <w:rFonts w:ascii="Times New Roman" w:hAnsi="Times New Roman" w:cs="Times New Roman"/>
          <w:sz w:val="24"/>
          <w:szCs w:val="24"/>
        </w:rPr>
        <w:t>bachelor’s degree</w:t>
      </w:r>
      <w:r w:rsidR="008E0FC3">
        <w:rPr>
          <w:rFonts w:ascii="Times New Roman" w:hAnsi="Times New Roman" w:cs="Times New Roman"/>
          <w:sz w:val="24"/>
          <w:szCs w:val="24"/>
        </w:rPr>
        <w:t xml:space="preserve"> attainment would lead to meaningful reductions in earnings ratios between the 90</w:t>
      </w:r>
      <w:r w:rsidR="008E0FC3" w:rsidRPr="008E0FC3">
        <w:rPr>
          <w:rFonts w:ascii="Times New Roman" w:hAnsi="Times New Roman" w:cs="Times New Roman"/>
          <w:sz w:val="24"/>
          <w:szCs w:val="24"/>
          <w:vertAlign w:val="superscript"/>
        </w:rPr>
        <w:t>th</w:t>
      </w:r>
      <w:r w:rsidR="008E0FC3">
        <w:rPr>
          <w:rFonts w:ascii="Times New Roman" w:hAnsi="Times New Roman" w:cs="Times New Roman"/>
          <w:sz w:val="24"/>
          <w:szCs w:val="24"/>
        </w:rPr>
        <w:t xml:space="preserve"> and lower percentiles</w:t>
      </w:r>
      <w:r w:rsidR="004D25C5">
        <w:rPr>
          <w:rFonts w:ascii="Times New Roman" w:hAnsi="Times New Roman" w:cs="Times New Roman"/>
          <w:sz w:val="24"/>
          <w:szCs w:val="24"/>
        </w:rPr>
        <w:t xml:space="preserve"> among FTFY workers</w:t>
      </w:r>
      <w:r w:rsidR="00940754">
        <w:rPr>
          <w:rFonts w:ascii="Times New Roman" w:hAnsi="Times New Roman" w:cs="Times New Roman"/>
          <w:sz w:val="24"/>
          <w:szCs w:val="24"/>
        </w:rPr>
        <w:t xml:space="preserve">, and this is true for either simulation method, as </w:t>
      </w:r>
      <w:r w:rsidR="00940754">
        <w:rPr>
          <w:rFonts w:ascii="Times New Roman" w:hAnsi="Times New Roman" w:cs="Times New Roman"/>
          <w:sz w:val="24"/>
          <w:szCs w:val="24"/>
        </w:rPr>
        <w:lastRenderedPageBreak/>
        <w:t>both produce similar results</w:t>
      </w:r>
      <w:r w:rsidR="00795D57">
        <w:rPr>
          <w:rFonts w:ascii="Times New Roman" w:hAnsi="Times New Roman" w:cs="Times New Roman"/>
          <w:sz w:val="24"/>
          <w:szCs w:val="24"/>
        </w:rPr>
        <w:t>.</w:t>
      </w:r>
      <w:r w:rsidR="001B73C3">
        <w:rPr>
          <w:rFonts w:ascii="Times New Roman" w:hAnsi="Times New Roman" w:cs="Times New Roman"/>
          <w:sz w:val="24"/>
          <w:szCs w:val="24"/>
        </w:rPr>
        <w:t xml:space="preserve"> </w:t>
      </w:r>
      <w:r w:rsidR="00940754">
        <w:rPr>
          <w:rFonts w:ascii="Times New Roman" w:hAnsi="Times New Roman" w:cs="Times New Roman"/>
          <w:sz w:val="24"/>
          <w:szCs w:val="24"/>
        </w:rPr>
        <w:t>For example, t</w:t>
      </w:r>
      <w:r w:rsidR="008E0FC3">
        <w:rPr>
          <w:rFonts w:ascii="Times New Roman" w:hAnsi="Times New Roman" w:cs="Times New Roman"/>
          <w:sz w:val="24"/>
          <w:szCs w:val="24"/>
        </w:rPr>
        <w:t xml:space="preserve">he 90/10 ratio increased from 4.63 to 5.45 between 1979 and 2018. </w:t>
      </w:r>
      <w:r w:rsidR="00940754">
        <w:rPr>
          <w:rFonts w:ascii="Times New Roman" w:hAnsi="Times New Roman" w:cs="Times New Roman"/>
          <w:sz w:val="24"/>
          <w:szCs w:val="24"/>
        </w:rPr>
        <w:t>S</w:t>
      </w:r>
      <w:r w:rsidR="004D25C5">
        <w:rPr>
          <w:rFonts w:ascii="Times New Roman" w:hAnsi="Times New Roman" w:cs="Times New Roman"/>
          <w:sz w:val="24"/>
          <w:szCs w:val="24"/>
        </w:rPr>
        <w:t xml:space="preserve">imulation </w:t>
      </w:r>
      <w:proofErr w:type="gramStart"/>
      <w:r w:rsidR="00940754">
        <w:rPr>
          <w:rFonts w:ascii="Times New Roman" w:hAnsi="Times New Roman" w:cs="Times New Roman"/>
          <w:sz w:val="24"/>
          <w:szCs w:val="24"/>
        </w:rPr>
        <w:t>3</w:t>
      </w:r>
      <w:proofErr w:type="gramEnd"/>
      <w:r w:rsidR="00940754">
        <w:rPr>
          <w:rFonts w:ascii="Times New Roman" w:hAnsi="Times New Roman" w:cs="Times New Roman"/>
          <w:sz w:val="24"/>
          <w:szCs w:val="24"/>
        </w:rPr>
        <w:t xml:space="preserve"> (</w:t>
      </w:r>
      <w:r w:rsidR="004D25C5">
        <w:rPr>
          <w:rFonts w:ascii="Times New Roman" w:hAnsi="Times New Roman" w:cs="Times New Roman"/>
          <w:sz w:val="24"/>
          <w:szCs w:val="24"/>
        </w:rPr>
        <w:t>i</w:t>
      </w:r>
      <w:r w:rsidR="008E0FC3">
        <w:rPr>
          <w:rFonts w:ascii="Times New Roman" w:hAnsi="Times New Roman" w:cs="Times New Roman"/>
          <w:sz w:val="24"/>
          <w:szCs w:val="24"/>
        </w:rPr>
        <w:t>ncreasing AA rates to 20</w:t>
      </w:r>
      <w:r w:rsidR="00940754">
        <w:rPr>
          <w:rFonts w:ascii="Times New Roman" w:hAnsi="Times New Roman" w:cs="Times New Roman"/>
          <w:sz w:val="24"/>
          <w:szCs w:val="24"/>
        </w:rPr>
        <w:t xml:space="preserve"> percent</w:t>
      </w:r>
      <w:r w:rsidR="008E0FC3">
        <w:rPr>
          <w:rFonts w:ascii="Times New Roman" w:hAnsi="Times New Roman" w:cs="Times New Roman"/>
          <w:sz w:val="24"/>
          <w:szCs w:val="24"/>
        </w:rPr>
        <w:t xml:space="preserve"> and BA rates to 60</w:t>
      </w:r>
      <w:r w:rsidR="00940754">
        <w:rPr>
          <w:rFonts w:ascii="Times New Roman" w:hAnsi="Times New Roman" w:cs="Times New Roman"/>
          <w:sz w:val="24"/>
          <w:szCs w:val="24"/>
        </w:rPr>
        <w:t xml:space="preserve"> percent)</w:t>
      </w:r>
      <w:r w:rsidR="008E0FC3">
        <w:rPr>
          <w:rFonts w:ascii="Times New Roman" w:hAnsi="Times New Roman" w:cs="Times New Roman"/>
          <w:sz w:val="24"/>
          <w:szCs w:val="24"/>
        </w:rPr>
        <w:t xml:space="preserve"> would bring that ratio down </w:t>
      </w:r>
      <w:r w:rsidR="008E0FC3" w:rsidRPr="000575C8">
        <w:rPr>
          <w:rFonts w:ascii="Times New Roman" w:hAnsi="Times New Roman" w:cs="Times New Roman"/>
          <w:sz w:val="24"/>
          <w:szCs w:val="24"/>
        </w:rPr>
        <w:t xml:space="preserve">to </w:t>
      </w:r>
      <w:r w:rsidR="00680490">
        <w:rPr>
          <w:rFonts w:ascii="Times New Roman" w:hAnsi="Times New Roman" w:cs="Times New Roman"/>
          <w:sz w:val="24"/>
          <w:szCs w:val="24"/>
        </w:rPr>
        <w:t>5.</w:t>
      </w:r>
      <w:r w:rsidR="00802BE9">
        <w:rPr>
          <w:rFonts w:ascii="Times New Roman" w:hAnsi="Times New Roman" w:cs="Times New Roman"/>
          <w:sz w:val="24"/>
          <w:szCs w:val="24"/>
        </w:rPr>
        <w:t xml:space="preserve">16 </w:t>
      </w:r>
      <w:r w:rsidR="00940754" w:rsidRPr="000575C8">
        <w:rPr>
          <w:rFonts w:ascii="Times New Roman" w:hAnsi="Times New Roman" w:cs="Times New Roman"/>
          <w:sz w:val="24"/>
          <w:szCs w:val="24"/>
        </w:rPr>
        <w:t xml:space="preserve">(distribution method) </w:t>
      </w:r>
      <w:r w:rsidR="008E0FC3" w:rsidRPr="000575C8">
        <w:rPr>
          <w:rFonts w:ascii="Times New Roman" w:hAnsi="Times New Roman" w:cs="Times New Roman"/>
          <w:sz w:val="24"/>
          <w:szCs w:val="24"/>
        </w:rPr>
        <w:t xml:space="preserve">or </w:t>
      </w:r>
      <w:r w:rsidR="007C0FF6">
        <w:rPr>
          <w:rFonts w:ascii="Times New Roman" w:hAnsi="Times New Roman" w:cs="Times New Roman"/>
          <w:sz w:val="24"/>
          <w:szCs w:val="24"/>
        </w:rPr>
        <w:t xml:space="preserve">5.00 </w:t>
      </w:r>
      <w:r w:rsidR="00940754" w:rsidRPr="000575C8">
        <w:rPr>
          <w:rFonts w:ascii="Times New Roman" w:hAnsi="Times New Roman" w:cs="Times New Roman"/>
          <w:sz w:val="24"/>
          <w:szCs w:val="24"/>
        </w:rPr>
        <w:t>(causal</w:t>
      </w:r>
      <w:r w:rsidR="00940754">
        <w:rPr>
          <w:rFonts w:ascii="Times New Roman" w:hAnsi="Times New Roman" w:cs="Times New Roman"/>
          <w:sz w:val="24"/>
          <w:szCs w:val="24"/>
        </w:rPr>
        <w:t xml:space="preserve"> parameter method), r</w:t>
      </w:r>
      <w:r w:rsidR="008E0FC3">
        <w:rPr>
          <w:rFonts w:ascii="Times New Roman" w:hAnsi="Times New Roman" w:cs="Times New Roman"/>
          <w:sz w:val="24"/>
          <w:szCs w:val="24"/>
        </w:rPr>
        <w:t>evers</w:t>
      </w:r>
      <w:r w:rsidR="00940754">
        <w:rPr>
          <w:rFonts w:ascii="Times New Roman" w:hAnsi="Times New Roman" w:cs="Times New Roman"/>
          <w:sz w:val="24"/>
          <w:szCs w:val="24"/>
        </w:rPr>
        <w:t>ing</w:t>
      </w:r>
      <w:r w:rsidR="008E0FC3">
        <w:rPr>
          <w:rFonts w:ascii="Times New Roman" w:hAnsi="Times New Roman" w:cs="Times New Roman"/>
          <w:sz w:val="24"/>
          <w:szCs w:val="24"/>
        </w:rPr>
        <w:t xml:space="preserve"> </w:t>
      </w:r>
      <w:r w:rsidR="00940754">
        <w:rPr>
          <w:rFonts w:ascii="Times New Roman" w:hAnsi="Times New Roman" w:cs="Times New Roman"/>
          <w:sz w:val="24"/>
          <w:szCs w:val="24"/>
        </w:rPr>
        <w:t xml:space="preserve">from </w:t>
      </w:r>
      <w:r w:rsidR="008E0FC3">
        <w:rPr>
          <w:rFonts w:ascii="Times New Roman" w:hAnsi="Times New Roman" w:cs="Times New Roman"/>
          <w:sz w:val="24"/>
          <w:szCs w:val="24"/>
        </w:rPr>
        <w:t xml:space="preserve">more than half </w:t>
      </w:r>
      <w:r w:rsidR="00940754">
        <w:rPr>
          <w:rFonts w:ascii="Times New Roman" w:hAnsi="Times New Roman" w:cs="Times New Roman"/>
          <w:sz w:val="24"/>
          <w:szCs w:val="24"/>
        </w:rPr>
        <w:t xml:space="preserve">to all </w:t>
      </w:r>
      <w:r w:rsidR="008E0FC3">
        <w:rPr>
          <w:rFonts w:ascii="Times New Roman" w:hAnsi="Times New Roman" w:cs="Times New Roman"/>
          <w:sz w:val="24"/>
          <w:szCs w:val="24"/>
        </w:rPr>
        <w:t>of the</w:t>
      </w:r>
      <w:r w:rsidR="00203811">
        <w:rPr>
          <w:rFonts w:ascii="Times New Roman" w:hAnsi="Times New Roman" w:cs="Times New Roman"/>
          <w:sz w:val="24"/>
          <w:szCs w:val="24"/>
        </w:rPr>
        <w:t xml:space="preserve"> actual increase over this </w:t>
      </w:r>
      <w:r w:rsidR="008E0FC3">
        <w:rPr>
          <w:rFonts w:ascii="Times New Roman" w:hAnsi="Times New Roman" w:cs="Times New Roman"/>
          <w:sz w:val="24"/>
          <w:szCs w:val="24"/>
        </w:rPr>
        <w:t>period.</w:t>
      </w:r>
      <w:r w:rsidR="00F12DB0">
        <w:rPr>
          <w:rStyle w:val="FootnoteReference"/>
          <w:rFonts w:ascii="Times New Roman" w:hAnsi="Times New Roman" w:cs="Times New Roman"/>
          <w:sz w:val="24"/>
          <w:szCs w:val="24"/>
        </w:rPr>
        <w:footnoteReference w:id="13"/>
      </w:r>
      <w:r w:rsidR="00203811">
        <w:rPr>
          <w:rFonts w:ascii="Times New Roman" w:hAnsi="Times New Roman" w:cs="Times New Roman"/>
          <w:sz w:val="24"/>
          <w:szCs w:val="24"/>
        </w:rPr>
        <w:t xml:space="preserve"> </w:t>
      </w:r>
      <w:r w:rsidR="0069210D">
        <w:rPr>
          <w:rFonts w:ascii="Times New Roman" w:hAnsi="Times New Roman" w:cs="Times New Roman"/>
          <w:sz w:val="24"/>
          <w:szCs w:val="24"/>
        </w:rPr>
        <w:t xml:space="preserve">As suggested by Table 3, the reduction stems from </w:t>
      </w:r>
      <w:r w:rsidR="00203811" w:rsidRPr="004D25C5">
        <w:rPr>
          <w:rFonts w:ascii="Times New Roman" w:hAnsi="Times New Roman" w:cs="Times New Roman"/>
          <w:sz w:val="24"/>
          <w:szCs w:val="24"/>
        </w:rPr>
        <w:t>increase</w:t>
      </w:r>
      <w:r w:rsidR="0069210D">
        <w:rPr>
          <w:rFonts w:ascii="Times New Roman" w:hAnsi="Times New Roman" w:cs="Times New Roman"/>
          <w:sz w:val="24"/>
          <w:szCs w:val="24"/>
        </w:rPr>
        <w:t>s</w:t>
      </w:r>
      <w:r w:rsidR="00203811" w:rsidRPr="004D25C5">
        <w:rPr>
          <w:rFonts w:ascii="Times New Roman" w:hAnsi="Times New Roman" w:cs="Times New Roman"/>
          <w:sz w:val="24"/>
          <w:szCs w:val="24"/>
        </w:rPr>
        <w:t xml:space="preserve"> in the 10</w:t>
      </w:r>
      <w:r w:rsidR="00203811" w:rsidRPr="004D25C5">
        <w:rPr>
          <w:rFonts w:ascii="Times New Roman" w:hAnsi="Times New Roman" w:cs="Times New Roman"/>
          <w:sz w:val="24"/>
          <w:szCs w:val="24"/>
          <w:vertAlign w:val="superscript"/>
        </w:rPr>
        <w:t>th</w:t>
      </w:r>
      <w:r w:rsidR="00203811" w:rsidRPr="004D25C5">
        <w:rPr>
          <w:rFonts w:ascii="Times New Roman" w:hAnsi="Times New Roman" w:cs="Times New Roman"/>
          <w:sz w:val="24"/>
          <w:szCs w:val="24"/>
        </w:rPr>
        <w:t xml:space="preserve"> percentile of FTFY earnings </w:t>
      </w:r>
      <w:r w:rsidR="0069210D">
        <w:rPr>
          <w:rFonts w:ascii="Times New Roman" w:hAnsi="Times New Roman" w:cs="Times New Roman"/>
          <w:sz w:val="24"/>
          <w:szCs w:val="24"/>
        </w:rPr>
        <w:t xml:space="preserve">and </w:t>
      </w:r>
      <w:r w:rsidR="00F12DB0">
        <w:rPr>
          <w:rFonts w:ascii="Times New Roman" w:hAnsi="Times New Roman" w:cs="Times New Roman"/>
          <w:sz w:val="24"/>
          <w:szCs w:val="24"/>
        </w:rPr>
        <w:t>smaller proportional</w:t>
      </w:r>
      <w:r w:rsidR="0069210D">
        <w:rPr>
          <w:rFonts w:ascii="Times New Roman" w:hAnsi="Times New Roman" w:cs="Times New Roman"/>
          <w:sz w:val="24"/>
          <w:szCs w:val="24"/>
        </w:rPr>
        <w:t xml:space="preserve"> change at the</w:t>
      </w:r>
      <w:r w:rsidR="006B2F7D" w:rsidRPr="004D25C5">
        <w:rPr>
          <w:rFonts w:ascii="Times New Roman" w:hAnsi="Times New Roman" w:cs="Times New Roman"/>
          <w:sz w:val="24"/>
          <w:szCs w:val="24"/>
        </w:rPr>
        <w:t xml:space="preserve"> </w:t>
      </w:r>
      <w:r w:rsidR="00203811" w:rsidRPr="004D25C5">
        <w:rPr>
          <w:rFonts w:ascii="Times New Roman" w:hAnsi="Times New Roman" w:cs="Times New Roman"/>
          <w:sz w:val="24"/>
          <w:szCs w:val="24"/>
        </w:rPr>
        <w:t>90</w:t>
      </w:r>
      <w:r w:rsidR="00203811" w:rsidRPr="004D25C5">
        <w:rPr>
          <w:rFonts w:ascii="Times New Roman" w:hAnsi="Times New Roman" w:cs="Times New Roman"/>
          <w:sz w:val="24"/>
          <w:szCs w:val="24"/>
          <w:vertAlign w:val="superscript"/>
        </w:rPr>
        <w:t>th</w:t>
      </w:r>
      <w:r w:rsidR="00203811" w:rsidRPr="004D25C5">
        <w:rPr>
          <w:rFonts w:ascii="Times New Roman" w:hAnsi="Times New Roman" w:cs="Times New Roman"/>
          <w:sz w:val="24"/>
          <w:szCs w:val="24"/>
        </w:rPr>
        <w:t xml:space="preserve"> percentile</w:t>
      </w:r>
      <w:r w:rsidR="001B73C3" w:rsidRPr="004D25C5">
        <w:rPr>
          <w:rFonts w:ascii="Times New Roman" w:hAnsi="Times New Roman" w:cs="Times New Roman"/>
          <w:sz w:val="24"/>
          <w:szCs w:val="24"/>
        </w:rPr>
        <w:t xml:space="preserve">. </w:t>
      </w:r>
      <w:r w:rsidR="00E63544">
        <w:rPr>
          <w:rFonts w:ascii="Times New Roman" w:hAnsi="Times New Roman" w:cs="Times New Roman"/>
          <w:sz w:val="24"/>
          <w:szCs w:val="24"/>
        </w:rPr>
        <w:t>The same simulation also substantially reduces the 90/</w:t>
      </w:r>
      <w:r w:rsidR="00F12DB0">
        <w:rPr>
          <w:rFonts w:ascii="Times New Roman" w:hAnsi="Times New Roman" w:cs="Times New Roman"/>
          <w:sz w:val="24"/>
          <w:szCs w:val="24"/>
        </w:rPr>
        <w:t>50,</w:t>
      </w:r>
      <w:r w:rsidR="00E63544">
        <w:rPr>
          <w:rFonts w:ascii="Times New Roman" w:hAnsi="Times New Roman" w:cs="Times New Roman"/>
          <w:sz w:val="24"/>
          <w:szCs w:val="24"/>
        </w:rPr>
        <w:t xml:space="preserve"> 90/</w:t>
      </w:r>
      <w:r w:rsidR="00F12DB0">
        <w:rPr>
          <w:rFonts w:ascii="Times New Roman" w:hAnsi="Times New Roman" w:cs="Times New Roman"/>
          <w:sz w:val="24"/>
          <w:szCs w:val="24"/>
        </w:rPr>
        <w:t>25, and 50/25</w:t>
      </w:r>
      <w:r w:rsidR="00E63544">
        <w:rPr>
          <w:rFonts w:ascii="Times New Roman" w:hAnsi="Times New Roman" w:cs="Times New Roman"/>
          <w:sz w:val="24"/>
          <w:szCs w:val="24"/>
        </w:rPr>
        <w:t xml:space="preserve"> earnings ratios, although the reductions are less dramatic</w:t>
      </w:r>
      <w:r w:rsidR="00A03402">
        <w:rPr>
          <w:rFonts w:ascii="Times New Roman" w:hAnsi="Times New Roman" w:cs="Times New Roman"/>
          <w:sz w:val="24"/>
          <w:szCs w:val="24"/>
        </w:rPr>
        <w:t>.</w:t>
      </w:r>
      <w:r w:rsidR="005A0683">
        <w:rPr>
          <w:rFonts w:ascii="Times New Roman" w:hAnsi="Times New Roman" w:cs="Times New Roman"/>
          <w:sz w:val="24"/>
          <w:szCs w:val="24"/>
        </w:rPr>
        <w:t xml:space="preserve"> Simulations 1 and 2, which involve smaller shifts in degree attainment, produce correspondingly smaller, but still sizable, reductions in these inequality measures. Interestingly, the causal parameter method produces slightly larger reductions in the percentile ratios than the distribution method, and the difference increases as the simulation becomes </w:t>
      </w:r>
      <w:proofErr w:type="gramStart"/>
      <w:r w:rsidR="005A0683">
        <w:rPr>
          <w:rFonts w:ascii="Times New Roman" w:hAnsi="Times New Roman" w:cs="Times New Roman"/>
          <w:sz w:val="24"/>
          <w:szCs w:val="24"/>
        </w:rPr>
        <w:t>more extreme</w:t>
      </w:r>
      <w:proofErr w:type="gramEnd"/>
      <w:r w:rsidR="005A0683">
        <w:rPr>
          <w:rFonts w:ascii="Times New Roman" w:hAnsi="Times New Roman" w:cs="Times New Roman"/>
          <w:sz w:val="24"/>
          <w:szCs w:val="24"/>
        </w:rPr>
        <w:t xml:space="preserve"> in the education shifts.</w:t>
      </w:r>
      <w:r w:rsidR="005A0683">
        <w:rPr>
          <w:rStyle w:val="FootnoteReference"/>
          <w:rFonts w:ascii="Times New Roman" w:hAnsi="Times New Roman" w:cs="Times New Roman"/>
          <w:sz w:val="24"/>
          <w:szCs w:val="24"/>
        </w:rPr>
        <w:footnoteReference w:id="14"/>
      </w:r>
    </w:p>
    <w:p w14:paraId="7B1169B9" w14:textId="0B447B57" w:rsidR="00C548F0" w:rsidRDefault="00C548F0" w:rsidP="004D25C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estimates reported in Table 4a incorporate relative wage effects estimated using data from 1979 to 2018. If we instead estimate relative wage effects using data from 196</w:t>
      </w:r>
      <w:r w:rsidR="009B46A9">
        <w:rPr>
          <w:rFonts w:ascii="Times New Roman" w:hAnsi="Times New Roman" w:cs="Times New Roman"/>
          <w:sz w:val="24"/>
          <w:szCs w:val="24"/>
        </w:rPr>
        <w:t>3</w:t>
      </w:r>
      <w:r>
        <w:rPr>
          <w:rFonts w:ascii="Times New Roman" w:hAnsi="Times New Roman" w:cs="Times New Roman"/>
          <w:sz w:val="24"/>
          <w:szCs w:val="24"/>
        </w:rPr>
        <w:t xml:space="preserve"> to 2018, consistent with previous literature, the depressive effect of increased BA attainment on relative wages would be larger and the depressive effect of increased AA attainment on relative wages would be smaller</w:t>
      </w:r>
      <w:r w:rsidR="00787ABB">
        <w:rPr>
          <w:rFonts w:ascii="Times New Roman" w:hAnsi="Times New Roman" w:cs="Times New Roman"/>
          <w:sz w:val="24"/>
          <w:szCs w:val="24"/>
        </w:rPr>
        <w:t xml:space="preserve"> (as shown in Appendix Tables C</w:t>
      </w:r>
      <w:r w:rsidR="00BD6B9F">
        <w:rPr>
          <w:rFonts w:ascii="Times New Roman" w:hAnsi="Times New Roman" w:cs="Times New Roman"/>
          <w:sz w:val="24"/>
          <w:szCs w:val="24"/>
        </w:rPr>
        <w:t>.</w:t>
      </w:r>
      <w:r w:rsidR="00787ABB">
        <w:rPr>
          <w:rFonts w:ascii="Times New Roman" w:hAnsi="Times New Roman" w:cs="Times New Roman"/>
          <w:sz w:val="24"/>
          <w:szCs w:val="24"/>
        </w:rPr>
        <w:t>1 and C</w:t>
      </w:r>
      <w:r w:rsidR="00BD6B9F">
        <w:rPr>
          <w:rFonts w:ascii="Times New Roman" w:hAnsi="Times New Roman" w:cs="Times New Roman"/>
          <w:sz w:val="24"/>
          <w:szCs w:val="24"/>
        </w:rPr>
        <w:t>.</w:t>
      </w:r>
      <w:r w:rsidR="00787ABB">
        <w:rPr>
          <w:rFonts w:ascii="Times New Roman" w:hAnsi="Times New Roman" w:cs="Times New Roman"/>
          <w:sz w:val="24"/>
          <w:szCs w:val="24"/>
        </w:rPr>
        <w:t>2)</w:t>
      </w:r>
      <w:r>
        <w:rPr>
          <w:rFonts w:ascii="Times New Roman" w:hAnsi="Times New Roman" w:cs="Times New Roman"/>
          <w:sz w:val="24"/>
          <w:szCs w:val="24"/>
        </w:rPr>
        <w:t xml:space="preserve">. </w:t>
      </w:r>
      <w:r w:rsidR="00787ABB">
        <w:rPr>
          <w:rFonts w:ascii="Times New Roman" w:hAnsi="Times New Roman" w:cs="Times New Roman"/>
          <w:sz w:val="24"/>
          <w:szCs w:val="24"/>
        </w:rPr>
        <w:t>Appendix Table A</w:t>
      </w:r>
      <w:r w:rsidR="00BD6B9F">
        <w:rPr>
          <w:rFonts w:ascii="Times New Roman" w:hAnsi="Times New Roman" w:cs="Times New Roman"/>
          <w:sz w:val="24"/>
          <w:szCs w:val="24"/>
        </w:rPr>
        <w:t>.</w:t>
      </w:r>
      <w:r w:rsidR="00787ABB">
        <w:rPr>
          <w:rFonts w:ascii="Times New Roman" w:hAnsi="Times New Roman" w:cs="Times New Roman"/>
          <w:sz w:val="24"/>
          <w:szCs w:val="24"/>
        </w:rPr>
        <w:t>3 reproduces the results from Table 4a using these relative wage effects instead. As can be seen in the table, the simulated reductions in the 90/10 and 90/25 wage ratios are even larger. Simulation 3 reduces the 90/10 ratio to 4.</w:t>
      </w:r>
      <w:r w:rsidR="00366A4B">
        <w:rPr>
          <w:rFonts w:ascii="Times New Roman" w:hAnsi="Times New Roman" w:cs="Times New Roman"/>
          <w:sz w:val="24"/>
          <w:szCs w:val="24"/>
        </w:rPr>
        <w:t xml:space="preserve">85 </w:t>
      </w:r>
      <w:r w:rsidR="00787ABB">
        <w:rPr>
          <w:rFonts w:ascii="Times New Roman" w:hAnsi="Times New Roman" w:cs="Times New Roman"/>
          <w:sz w:val="24"/>
          <w:szCs w:val="24"/>
        </w:rPr>
        <w:t>(distribution method) and 4.</w:t>
      </w:r>
      <w:r w:rsidR="005C51D8">
        <w:rPr>
          <w:rFonts w:ascii="Times New Roman" w:hAnsi="Times New Roman" w:cs="Times New Roman"/>
          <w:sz w:val="24"/>
          <w:szCs w:val="24"/>
        </w:rPr>
        <w:t xml:space="preserve">64 </w:t>
      </w:r>
      <w:r w:rsidR="00787ABB">
        <w:rPr>
          <w:rFonts w:ascii="Times New Roman" w:hAnsi="Times New Roman" w:cs="Times New Roman"/>
          <w:sz w:val="24"/>
          <w:szCs w:val="24"/>
        </w:rPr>
        <w:t>(causal parameter method). It reduces the 90/25 ratio to 3.</w:t>
      </w:r>
      <w:r w:rsidR="00366A4B">
        <w:rPr>
          <w:rFonts w:ascii="Times New Roman" w:hAnsi="Times New Roman" w:cs="Times New Roman"/>
          <w:sz w:val="24"/>
          <w:szCs w:val="24"/>
        </w:rPr>
        <w:t xml:space="preserve">50 </w:t>
      </w:r>
      <w:r w:rsidR="00787ABB">
        <w:rPr>
          <w:rFonts w:ascii="Times New Roman" w:hAnsi="Times New Roman" w:cs="Times New Roman"/>
          <w:sz w:val="24"/>
          <w:szCs w:val="24"/>
        </w:rPr>
        <w:t>(distribution method) and 3.</w:t>
      </w:r>
      <w:r w:rsidR="005C51D8">
        <w:rPr>
          <w:rFonts w:ascii="Times New Roman" w:hAnsi="Times New Roman" w:cs="Times New Roman"/>
          <w:sz w:val="24"/>
          <w:szCs w:val="24"/>
        </w:rPr>
        <w:t>29</w:t>
      </w:r>
      <w:r w:rsidR="00787ABB">
        <w:rPr>
          <w:rFonts w:ascii="Times New Roman" w:hAnsi="Times New Roman" w:cs="Times New Roman"/>
          <w:sz w:val="24"/>
          <w:szCs w:val="24"/>
        </w:rPr>
        <w:t xml:space="preserve"> (causal parameter method). </w:t>
      </w:r>
    </w:p>
    <w:p w14:paraId="38EA38D3" w14:textId="225FCA6D" w:rsidR="008B71C7" w:rsidRPr="00EE6393" w:rsidRDefault="00EF6237" w:rsidP="004D25C5">
      <w:pPr>
        <w:spacing w:after="0" w:line="480" w:lineRule="auto"/>
        <w:ind w:firstLine="720"/>
        <w:rPr>
          <w:rFonts w:ascii="Times New Roman" w:hAnsi="Times New Roman" w:cs="Times New Roman"/>
          <w:i/>
          <w:sz w:val="24"/>
          <w:szCs w:val="24"/>
        </w:rPr>
      </w:pPr>
      <w:r>
        <w:rPr>
          <w:rFonts w:ascii="Times New Roman" w:hAnsi="Times New Roman" w:cs="Times New Roman"/>
          <w:sz w:val="24"/>
          <w:szCs w:val="24"/>
        </w:rPr>
        <w:lastRenderedPageBreak/>
        <w:t>Tables 4b and 4c report results separately for FTFY men and women</w:t>
      </w:r>
      <w:r w:rsidR="00BD6B9F">
        <w:rPr>
          <w:rFonts w:ascii="Times New Roman" w:hAnsi="Times New Roman" w:cs="Times New Roman"/>
          <w:sz w:val="24"/>
          <w:szCs w:val="24"/>
        </w:rPr>
        <w:t>, using our baseline approach</w:t>
      </w:r>
      <w:r>
        <w:rPr>
          <w:rFonts w:ascii="Times New Roman" w:hAnsi="Times New Roman" w:cs="Times New Roman"/>
          <w:sz w:val="24"/>
          <w:szCs w:val="24"/>
        </w:rPr>
        <w:t xml:space="preserve">. </w:t>
      </w:r>
      <w:r w:rsidR="00F60AF2">
        <w:rPr>
          <w:rFonts w:ascii="Times New Roman" w:hAnsi="Times New Roman" w:cs="Times New Roman"/>
          <w:sz w:val="24"/>
          <w:szCs w:val="24"/>
        </w:rPr>
        <w:t xml:space="preserve">As in the pooled sample, the results from both the distribution and causal parameter methods show that for both men and women, </w:t>
      </w:r>
      <w:r>
        <w:rPr>
          <w:rFonts w:ascii="Times New Roman" w:hAnsi="Times New Roman" w:cs="Times New Roman"/>
          <w:sz w:val="24"/>
          <w:szCs w:val="24"/>
        </w:rPr>
        <w:t>a sizable increase in the rate of bachelor’s degree attainment would lead to meaningful reductions in earnings ratios between the 90</w:t>
      </w:r>
      <w:r w:rsidRPr="008E0FC3">
        <w:rPr>
          <w:rFonts w:ascii="Times New Roman" w:hAnsi="Times New Roman" w:cs="Times New Roman"/>
          <w:sz w:val="24"/>
          <w:szCs w:val="24"/>
          <w:vertAlign w:val="superscript"/>
        </w:rPr>
        <w:t>th</w:t>
      </w:r>
      <w:r>
        <w:rPr>
          <w:rFonts w:ascii="Times New Roman" w:hAnsi="Times New Roman" w:cs="Times New Roman"/>
          <w:sz w:val="24"/>
          <w:szCs w:val="24"/>
        </w:rPr>
        <w:t xml:space="preserve"> and lower percentiles</w:t>
      </w:r>
      <w:r w:rsidR="00F60AF2">
        <w:rPr>
          <w:rFonts w:ascii="Times New Roman" w:hAnsi="Times New Roman" w:cs="Times New Roman"/>
          <w:sz w:val="24"/>
          <w:szCs w:val="24"/>
        </w:rPr>
        <w:t>.</w:t>
      </w:r>
      <w:r>
        <w:rPr>
          <w:rFonts w:ascii="Times New Roman" w:hAnsi="Times New Roman" w:cs="Times New Roman"/>
          <w:sz w:val="24"/>
          <w:szCs w:val="24"/>
        </w:rPr>
        <w:t xml:space="preserve"> For example, </w:t>
      </w:r>
      <w:r w:rsidR="00AF00D0">
        <w:rPr>
          <w:rFonts w:ascii="Times New Roman" w:hAnsi="Times New Roman" w:cs="Times New Roman"/>
          <w:sz w:val="24"/>
          <w:szCs w:val="24"/>
        </w:rPr>
        <w:t xml:space="preserve">among FTFY men, </w:t>
      </w:r>
      <w:r>
        <w:rPr>
          <w:rFonts w:ascii="Times New Roman" w:hAnsi="Times New Roman" w:cs="Times New Roman"/>
          <w:sz w:val="24"/>
          <w:szCs w:val="24"/>
        </w:rPr>
        <w:t>the 90/10 ratio increased</w:t>
      </w:r>
      <w:r w:rsidR="00AF00D0">
        <w:rPr>
          <w:rFonts w:ascii="Times New Roman" w:hAnsi="Times New Roman" w:cs="Times New Roman"/>
          <w:sz w:val="24"/>
          <w:szCs w:val="24"/>
        </w:rPr>
        <w:t xml:space="preserve"> between 1979 and 2018 </w:t>
      </w:r>
      <w:r>
        <w:rPr>
          <w:rFonts w:ascii="Times New Roman" w:hAnsi="Times New Roman" w:cs="Times New Roman"/>
          <w:sz w:val="24"/>
          <w:szCs w:val="24"/>
        </w:rPr>
        <w:t xml:space="preserve">from </w:t>
      </w:r>
      <w:r w:rsidR="00AF00D0">
        <w:rPr>
          <w:rFonts w:ascii="Times New Roman" w:hAnsi="Times New Roman" w:cs="Times New Roman"/>
          <w:sz w:val="24"/>
          <w:szCs w:val="24"/>
        </w:rPr>
        <w:t>3.86 to 5.58; simulation 3 would bring that ratio down to 5</w:t>
      </w:r>
      <w:r w:rsidR="00ED7C10">
        <w:rPr>
          <w:rFonts w:ascii="Times New Roman" w:hAnsi="Times New Roman" w:cs="Times New Roman"/>
          <w:sz w:val="24"/>
          <w:szCs w:val="24"/>
        </w:rPr>
        <w:t>.</w:t>
      </w:r>
      <w:r w:rsidR="00802BE9">
        <w:rPr>
          <w:rFonts w:ascii="Times New Roman" w:hAnsi="Times New Roman" w:cs="Times New Roman"/>
          <w:sz w:val="24"/>
          <w:szCs w:val="24"/>
        </w:rPr>
        <w:t>1</w:t>
      </w:r>
      <w:r w:rsidR="007463A8">
        <w:rPr>
          <w:rFonts w:ascii="Times New Roman" w:hAnsi="Times New Roman" w:cs="Times New Roman"/>
          <w:sz w:val="24"/>
          <w:szCs w:val="24"/>
        </w:rPr>
        <w:t>8</w:t>
      </w:r>
      <w:r w:rsidR="00802BE9">
        <w:rPr>
          <w:rFonts w:ascii="Times New Roman" w:hAnsi="Times New Roman" w:cs="Times New Roman"/>
          <w:sz w:val="24"/>
          <w:szCs w:val="24"/>
        </w:rPr>
        <w:t xml:space="preserve"> </w:t>
      </w:r>
      <w:r w:rsidR="00ED7C10">
        <w:rPr>
          <w:rFonts w:ascii="Times New Roman" w:hAnsi="Times New Roman" w:cs="Times New Roman"/>
          <w:sz w:val="24"/>
          <w:szCs w:val="24"/>
        </w:rPr>
        <w:t>(distribution</w:t>
      </w:r>
      <w:r w:rsidR="004302E4">
        <w:rPr>
          <w:rFonts w:ascii="Times New Roman" w:hAnsi="Times New Roman" w:cs="Times New Roman"/>
          <w:sz w:val="24"/>
          <w:szCs w:val="24"/>
        </w:rPr>
        <w:t xml:space="preserve"> </w:t>
      </w:r>
      <w:r w:rsidR="00AF00D0">
        <w:rPr>
          <w:rFonts w:ascii="Times New Roman" w:hAnsi="Times New Roman" w:cs="Times New Roman"/>
          <w:sz w:val="24"/>
          <w:szCs w:val="24"/>
        </w:rPr>
        <w:t>method</w:t>
      </w:r>
      <w:r w:rsidR="00ED7C10">
        <w:rPr>
          <w:rFonts w:ascii="Times New Roman" w:hAnsi="Times New Roman" w:cs="Times New Roman"/>
          <w:sz w:val="24"/>
          <w:szCs w:val="24"/>
        </w:rPr>
        <w:t>) or 5.0</w:t>
      </w:r>
      <w:r w:rsidR="007463A8">
        <w:rPr>
          <w:rFonts w:ascii="Times New Roman" w:hAnsi="Times New Roman" w:cs="Times New Roman"/>
          <w:sz w:val="24"/>
          <w:szCs w:val="24"/>
        </w:rPr>
        <w:t>4</w:t>
      </w:r>
      <w:r w:rsidR="00ED7C10">
        <w:rPr>
          <w:rFonts w:ascii="Times New Roman" w:hAnsi="Times New Roman" w:cs="Times New Roman"/>
          <w:sz w:val="24"/>
          <w:szCs w:val="24"/>
        </w:rPr>
        <w:t xml:space="preserve"> (causal parameter method)</w:t>
      </w:r>
      <w:r w:rsidR="00AF00D0">
        <w:rPr>
          <w:rFonts w:ascii="Times New Roman" w:hAnsi="Times New Roman" w:cs="Times New Roman"/>
          <w:sz w:val="24"/>
          <w:szCs w:val="24"/>
        </w:rPr>
        <w:t xml:space="preserve">, reducing the increase in inequality by </w:t>
      </w:r>
      <w:r w:rsidR="00ED7C10">
        <w:rPr>
          <w:rFonts w:ascii="Times New Roman" w:hAnsi="Times New Roman" w:cs="Times New Roman"/>
          <w:sz w:val="24"/>
          <w:szCs w:val="24"/>
        </w:rPr>
        <w:t>up to</w:t>
      </w:r>
      <w:r w:rsidR="00AF00D0">
        <w:rPr>
          <w:rFonts w:ascii="Times New Roman" w:hAnsi="Times New Roman" w:cs="Times New Roman"/>
          <w:sz w:val="24"/>
          <w:szCs w:val="24"/>
        </w:rPr>
        <w:t xml:space="preserve"> one-third. Among FTFY women, the 90/10 ratio increased from 3.6 to 5.0; simulation 3 would bring that ratio down to 4.</w:t>
      </w:r>
      <w:r w:rsidR="00D25CAB">
        <w:rPr>
          <w:rFonts w:ascii="Times New Roman" w:hAnsi="Times New Roman" w:cs="Times New Roman"/>
          <w:sz w:val="24"/>
          <w:szCs w:val="24"/>
        </w:rPr>
        <w:t>4</w:t>
      </w:r>
      <w:r w:rsidR="001721A4">
        <w:rPr>
          <w:rFonts w:ascii="Times New Roman" w:hAnsi="Times New Roman" w:cs="Times New Roman"/>
          <w:sz w:val="24"/>
          <w:szCs w:val="24"/>
        </w:rPr>
        <w:t>4</w:t>
      </w:r>
      <w:r w:rsidR="00D25CAB">
        <w:rPr>
          <w:rFonts w:ascii="Times New Roman" w:hAnsi="Times New Roman" w:cs="Times New Roman"/>
          <w:sz w:val="24"/>
          <w:szCs w:val="24"/>
        </w:rPr>
        <w:t xml:space="preserve"> </w:t>
      </w:r>
      <w:r w:rsidR="00AF00D0">
        <w:rPr>
          <w:rFonts w:ascii="Times New Roman" w:hAnsi="Times New Roman" w:cs="Times New Roman"/>
          <w:sz w:val="24"/>
          <w:szCs w:val="24"/>
        </w:rPr>
        <w:t>(distribution method) or 4.</w:t>
      </w:r>
      <w:r w:rsidR="00C52EDA">
        <w:rPr>
          <w:rFonts w:ascii="Times New Roman" w:hAnsi="Times New Roman" w:cs="Times New Roman"/>
          <w:sz w:val="24"/>
          <w:szCs w:val="24"/>
        </w:rPr>
        <w:t>2</w:t>
      </w:r>
      <w:r w:rsidR="001721A4">
        <w:rPr>
          <w:rFonts w:ascii="Times New Roman" w:hAnsi="Times New Roman" w:cs="Times New Roman"/>
          <w:sz w:val="24"/>
          <w:szCs w:val="24"/>
        </w:rPr>
        <w:t>8</w:t>
      </w:r>
      <w:r w:rsidR="00C52EDA">
        <w:rPr>
          <w:rFonts w:ascii="Times New Roman" w:hAnsi="Times New Roman" w:cs="Times New Roman"/>
          <w:sz w:val="24"/>
          <w:szCs w:val="24"/>
        </w:rPr>
        <w:t xml:space="preserve"> </w:t>
      </w:r>
      <w:r w:rsidR="00AF00D0">
        <w:rPr>
          <w:rFonts w:ascii="Times New Roman" w:hAnsi="Times New Roman" w:cs="Times New Roman"/>
          <w:sz w:val="24"/>
          <w:szCs w:val="24"/>
        </w:rPr>
        <w:t>(causal parameter method), reducing the increase in inequality by a</w:t>
      </w:r>
      <w:r w:rsidR="004302E4">
        <w:rPr>
          <w:rFonts w:ascii="Times New Roman" w:hAnsi="Times New Roman" w:cs="Times New Roman"/>
          <w:sz w:val="24"/>
          <w:szCs w:val="24"/>
        </w:rPr>
        <w:t>bout one half</w:t>
      </w:r>
      <w:r w:rsidR="00AF00D0">
        <w:rPr>
          <w:rFonts w:ascii="Times New Roman" w:hAnsi="Times New Roman" w:cs="Times New Roman"/>
          <w:sz w:val="24"/>
          <w:szCs w:val="24"/>
        </w:rPr>
        <w:t>. Sizable reductions are also observed for the 90/25 and 50/25 ratio</w:t>
      </w:r>
      <w:r w:rsidR="00C07E62">
        <w:rPr>
          <w:rFonts w:ascii="Times New Roman" w:hAnsi="Times New Roman" w:cs="Times New Roman"/>
          <w:sz w:val="24"/>
          <w:szCs w:val="24"/>
        </w:rPr>
        <w:t>s</w:t>
      </w:r>
      <w:r w:rsidR="00AF00D0">
        <w:rPr>
          <w:rFonts w:ascii="Times New Roman" w:hAnsi="Times New Roman" w:cs="Times New Roman"/>
          <w:sz w:val="24"/>
          <w:szCs w:val="24"/>
        </w:rPr>
        <w:t>. Again, we see only small reductions</w:t>
      </w:r>
      <w:r w:rsidR="00C07E62">
        <w:rPr>
          <w:rFonts w:ascii="Times New Roman" w:hAnsi="Times New Roman" w:cs="Times New Roman"/>
          <w:sz w:val="24"/>
          <w:szCs w:val="24"/>
        </w:rPr>
        <w:t xml:space="preserve"> (or for FTFY women, increases)</w:t>
      </w:r>
      <w:r w:rsidR="00AF00D0">
        <w:rPr>
          <w:rFonts w:ascii="Times New Roman" w:hAnsi="Times New Roman" w:cs="Times New Roman"/>
          <w:sz w:val="24"/>
          <w:szCs w:val="24"/>
        </w:rPr>
        <w:t xml:space="preserve"> in the 99/90 ratio, consistent with </w:t>
      </w:r>
      <w:r w:rsidR="00AF00D0" w:rsidRPr="009D59CE">
        <w:rPr>
          <w:rFonts w:ascii="Times New Roman" w:hAnsi="Times New Roman" w:cs="Times New Roman"/>
          <w:sz w:val="24"/>
          <w:szCs w:val="24"/>
        </w:rPr>
        <w:t>the rising dispersion in earning</w:t>
      </w:r>
      <w:r w:rsidR="007734E5" w:rsidRPr="009D59CE">
        <w:rPr>
          <w:rFonts w:ascii="Times New Roman" w:hAnsi="Times New Roman" w:cs="Times New Roman"/>
          <w:sz w:val="24"/>
          <w:szCs w:val="24"/>
        </w:rPr>
        <w:t>s</w:t>
      </w:r>
      <w:r w:rsidR="00AF00D0" w:rsidRPr="009D59CE">
        <w:rPr>
          <w:rFonts w:ascii="Times New Roman" w:hAnsi="Times New Roman" w:cs="Times New Roman"/>
          <w:sz w:val="24"/>
          <w:szCs w:val="24"/>
        </w:rPr>
        <w:t xml:space="preserve"> among college graduates</w:t>
      </w:r>
      <w:r w:rsidR="007734E5" w:rsidRPr="009D59CE">
        <w:rPr>
          <w:rFonts w:ascii="Times New Roman" w:hAnsi="Times New Roman" w:cs="Times New Roman"/>
          <w:sz w:val="24"/>
          <w:szCs w:val="24"/>
        </w:rPr>
        <w:t>.</w:t>
      </w:r>
      <w:r w:rsidR="00C07E62">
        <w:rPr>
          <w:rStyle w:val="FootnoteReference"/>
          <w:rFonts w:ascii="Times New Roman" w:hAnsi="Times New Roman" w:cs="Times New Roman"/>
          <w:sz w:val="24"/>
          <w:szCs w:val="24"/>
        </w:rPr>
        <w:footnoteReference w:id="15"/>
      </w:r>
      <w:r w:rsidR="00AF00D0" w:rsidRPr="009D59CE">
        <w:rPr>
          <w:rFonts w:ascii="Times New Roman" w:hAnsi="Times New Roman" w:cs="Times New Roman"/>
          <w:sz w:val="24"/>
          <w:szCs w:val="24"/>
        </w:rPr>
        <w:t xml:space="preserve"> </w:t>
      </w:r>
      <w:r w:rsidR="007734E5">
        <w:rPr>
          <w:rFonts w:ascii="Times New Roman" w:hAnsi="Times New Roman" w:cs="Times New Roman"/>
          <w:sz w:val="24"/>
          <w:szCs w:val="24"/>
        </w:rPr>
        <w:t xml:space="preserve">The </w:t>
      </w:r>
      <w:r>
        <w:rPr>
          <w:rFonts w:ascii="Times New Roman" w:hAnsi="Times New Roman" w:cs="Times New Roman"/>
          <w:sz w:val="24"/>
          <w:szCs w:val="24"/>
        </w:rPr>
        <w:t>causal parameter method produces slightly larger reductions in the percentile ratios than the distribution method,</w:t>
      </w:r>
      <w:r w:rsidR="007734E5">
        <w:rPr>
          <w:rFonts w:ascii="Times New Roman" w:hAnsi="Times New Roman" w:cs="Times New Roman"/>
          <w:sz w:val="24"/>
          <w:szCs w:val="24"/>
        </w:rPr>
        <w:t xml:space="preserve"> but these should be interpreted with </w:t>
      </w:r>
      <w:proofErr w:type="gramStart"/>
      <w:r w:rsidR="007734E5">
        <w:rPr>
          <w:rFonts w:ascii="Times New Roman" w:hAnsi="Times New Roman" w:cs="Times New Roman"/>
          <w:sz w:val="24"/>
          <w:szCs w:val="24"/>
        </w:rPr>
        <w:t>caution</w:t>
      </w:r>
      <w:proofErr w:type="gramEnd"/>
      <w:r w:rsidR="007734E5">
        <w:rPr>
          <w:rFonts w:ascii="Times New Roman" w:hAnsi="Times New Roman" w:cs="Times New Roman"/>
          <w:sz w:val="24"/>
          <w:szCs w:val="24"/>
        </w:rPr>
        <w:t xml:space="preserve"> as we do not have separate causal parameter estimates for men and women.</w:t>
      </w:r>
    </w:p>
    <w:p w14:paraId="5515AEE4" w14:textId="33A4D766" w:rsidR="00A24B82" w:rsidRDefault="00430006" w:rsidP="00E34AE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As discussed above, employment rates for prime-age men have fallen over time, especially for less-educated prime-age men. Thus, it is also illustrative to examine how our simulations would affect earnings ratios and employment rates (</w:t>
      </w:r>
      <w:proofErr w:type="spellStart"/>
      <w:r>
        <w:rPr>
          <w:rFonts w:ascii="Times New Roman" w:hAnsi="Times New Roman" w:cs="Times New Roman"/>
          <w:sz w:val="24"/>
          <w:szCs w:val="24"/>
        </w:rPr>
        <w:t>proxied</w:t>
      </w:r>
      <w:proofErr w:type="spellEnd"/>
      <w:r>
        <w:rPr>
          <w:rFonts w:ascii="Times New Roman" w:hAnsi="Times New Roman" w:cs="Times New Roman"/>
          <w:sz w:val="24"/>
          <w:szCs w:val="24"/>
        </w:rPr>
        <w:t xml:space="preserve"> by positive earnings) for all prime-age men, regardless of work status. </w:t>
      </w:r>
      <w:r w:rsidR="008B71C7" w:rsidRPr="00496F53">
        <w:rPr>
          <w:rFonts w:ascii="Times New Roman" w:hAnsi="Times New Roman" w:cs="Times New Roman"/>
          <w:sz w:val="24"/>
          <w:szCs w:val="24"/>
        </w:rPr>
        <w:t>Tab</w:t>
      </w:r>
      <w:r w:rsidR="00D373D5" w:rsidRPr="00496F53">
        <w:rPr>
          <w:rFonts w:ascii="Times New Roman" w:hAnsi="Times New Roman" w:cs="Times New Roman"/>
          <w:sz w:val="24"/>
          <w:szCs w:val="24"/>
        </w:rPr>
        <w:t xml:space="preserve">le </w:t>
      </w:r>
      <w:r w:rsidR="005F1DFF" w:rsidRPr="00496F53">
        <w:rPr>
          <w:rFonts w:ascii="Times New Roman" w:hAnsi="Times New Roman" w:cs="Times New Roman"/>
          <w:sz w:val="24"/>
          <w:szCs w:val="24"/>
        </w:rPr>
        <w:t>4d</w:t>
      </w:r>
      <w:r w:rsidR="004B48D9" w:rsidRPr="0084234A">
        <w:rPr>
          <w:rFonts w:ascii="Times New Roman" w:hAnsi="Times New Roman" w:cs="Times New Roman"/>
          <w:sz w:val="24"/>
          <w:szCs w:val="24"/>
        </w:rPr>
        <w:t xml:space="preserve"> </w:t>
      </w:r>
      <w:r w:rsidR="008B71C7" w:rsidRPr="0084234A">
        <w:rPr>
          <w:rFonts w:ascii="Times New Roman" w:hAnsi="Times New Roman" w:cs="Times New Roman"/>
          <w:sz w:val="24"/>
          <w:szCs w:val="24"/>
        </w:rPr>
        <w:t xml:space="preserve">reports observed and simulated earnings ratios </w:t>
      </w:r>
      <w:r>
        <w:rPr>
          <w:rFonts w:ascii="Times New Roman" w:hAnsi="Times New Roman" w:cs="Times New Roman"/>
          <w:sz w:val="24"/>
          <w:szCs w:val="24"/>
        </w:rPr>
        <w:t>for this latter sample</w:t>
      </w:r>
      <w:r w:rsidR="00D373D5" w:rsidRPr="0084234A">
        <w:rPr>
          <w:rFonts w:ascii="Times New Roman" w:hAnsi="Times New Roman" w:cs="Times New Roman"/>
          <w:sz w:val="24"/>
          <w:szCs w:val="24"/>
        </w:rPr>
        <w:t>.</w:t>
      </w:r>
      <w:r w:rsidR="00D373D5" w:rsidRPr="0084234A">
        <w:rPr>
          <w:rStyle w:val="FootnoteReference"/>
          <w:rFonts w:ascii="Times New Roman" w:hAnsi="Times New Roman" w:cs="Times New Roman"/>
          <w:sz w:val="24"/>
          <w:szCs w:val="24"/>
        </w:rPr>
        <w:footnoteReference w:id="16"/>
      </w:r>
      <w:r w:rsidR="00D373D5" w:rsidRPr="0084234A">
        <w:rPr>
          <w:rFonts w:ascii="Times New Roman" w:hAnsi="Times New Roman" w:cs="Times New Roman"/>
          <w:sz w:val="24"/>
          <w:szCs w:val="24"/>
        </w:rPr>
        <w:t xml:space="preserve"> </w:t>
      </w:r>
      <w:r w:rsidR="00F07DA4">
        <w:rPr>
          <w:rFonts w:ascii="Times New Roman" w:hAnsi="Times New Roman" w:cs="Times New Roman"/>
          <w:sz w:val="24"/>
          <w:szCs w:val="24"/>
        </w:rPr>
        <w:t>As t</w:t>
      </w:r>
      <w:r w:rsidR="00D373D5" w:rsidRPr="0084234A">
        <w:rPr>
          <w:rFonts w:ascii="Times New Roman" w:hAnsi="Times New Roman" w:cs="Times New Roman"/>
          <w:sz w:val="24"/>
          <w:szCs w:val="24"/>
        </w:rPr>
        <w:t>he 10</w:t>
      </w:r>
      <w:r w:rsidR="00D373D5" w:rsidRPr="0084234A">
        <w:rPr>
          <w:rFonts w:ascii="Times New Roman" w:hAnsi="Times New Roman" w:cs="Times New Roman"/>
          <w:sz w:val="24"/>
          <w:szCs w:val="24"/>
          <w:vertAlign w:val="superscript"/>
        </w:rPr>
        <w:t>th</w:t>
      </w:r>
      <w:r w:rsidR="00D373D5" w:rsidRPr="0084234A">
        <w:rPr>
          <w:rFonts w:ascii="Times New Roman" w:hAnsi="Times New Roman" w:cs="Times New Roman"/>
          <w:sz w:val="24"/>
          <w:szCs w:val="24"/>
        </w:rPr>
        <w:t xml:space="preserve"> percentile of earnings for th</w:t>
      </w:r>
      <w:r w:rsidR="00F07DA4">
        <w:rPr>
          <w:rFonts w:ascii="Times New Roman" w:hAnsi="Times New Roman" w:cs="Times New Roman"/>
          <w:sz w:val="24"/>
          <w:szCs w:val="24"/>
        </w:rPr>
        <w:t>is</w:t>
      </w:r>
      <w:r w:rsidR="00D373D5" w:rsidRPr="0084234A">
        <w:rPr>
          <w:rFonts w:ascii="Times New Roman" w:hAnsi="Times New Roman" w:cs="Times New Roman"/>
          <w:sz w:val="24"/>
          <w:szCs w:val="24"/>
        </w:rPr>
        <w:t xml:space="preserve"> sample is zero in both </w:t>
      </w:r>
      <w:r w:rsidR="00F07DA4">
        <w:rPr>
          <w:rFonts w:ascii="Times New Roman" w:hAnsi="Times New Roman" w:cs="Times New Roman"/>
          <w:sz w:val="24"/>
          <w:szCs w:val="24"/>
        </w:rPr>
        <w:t>1979 and 2018</w:t>
      </w:r>
      <w:r w:rsidR="00D373D5" w:rsidRPr="0084234A">
        <w:rPr>
          <w:rFonts w:ascii="Times New Roman" w:hAnsi="Times New Roman" w:cs="Times New Roman"/>
          <w:sz w:val="24"/>
          <w:szCs w:val="24"/>
        </w:rPr>
        <w:t xml:space="preserve">, </w:t>
      </w:r>
      <w:r w:rsidR="00F07DA4">
        <w:rPr>
          <w:rFonts w:ascii="Times New Roman" w:hAnsi="Times New Roman" w:cs="Times New Roman"/>
          <w:sz w:val="24"/>
          <w:szCs w:val="24"/>
        </w:rPr>
        <w:t>we omit ratios with the 10</w:t>
      </w:r>
      <w:r w:rsidR="00F07DA4" w:rsidRPr="00496F53">
        <w:rPr>
          <w:rFonts w:ascii="Times New Roman" w:hAnsi="Times New Roman" w:cs="Times New Roman"/>
          <w:sz w:val="24"/>
          <w:szCs w:val="24"/>
          <w:vertAlign w:val="superscript"/>
        </w:rPr>
        <w:t>th</w:t>
      </w:r>
      <w:r w:rsidR="00F07DA4">
        <w:rPr>
          <w:rFonts w:ascii="Times New Roman" w:hAnsi="Times New Roman" w:cs="Times New Roman"/>
          <w:sz w:val="24"/>
          <w:szCs w:val="24"/>
        </w:rPr>
        <w:t xml:space="preserve"> percentile in the denominator.</w:t>
      </w:r>
      <w:r w:rsidR="00D373D5" w:rsidRPr="0084234A">
        <w:rPr>
          <w:rFonts w:ascii="Times New Roman" w:hAnsi="Times New Roman" w:cs="Times New Roman"/>
          <w:sz w:val="24"/>
          <w:szCs w:val="24"/>
        </w:rPr>
        <w:t xml:space="preserve"> </w:t>
      </w:r>
      <w:r w:rsidR="003849C2">
        <w:rPr>
          <w:rFonts w:ascii="Times New Roman" w:hAnsi="Times New Roman" w:cs="Times New Roman"/>
          <w:sz w:val="24"/>
          <w:szCs w:val="24"/>
        </w:rPr>
        <w:t xml:space="preserve">The remaining ratios </w:t>
      </w:r>
      <w:r w:rsidR="003849C2">
        <w:rPr>
          <w:rFonts w:ascii="Times New Roman" w:hAnsi="Times New Roman" w:cs="Times New Roman"/>
          <w:sz w:val="24"/>
          <w:szCs w:val="24"/>
        </w:rPr>
        <w:lastRenderedPageBreak/>
        <w:t xml:space="preserve">all experienced </w:t>
      </w:r>
      <w:r w:rsidR="008C10D2">
        <w:rPr>
          <w:rFonts w:ascii="Times New Roman" w:hAnsi="Times New Roman" w:cs="Times New Roman"/>
          <w:sz w:val="24"/>
          <w:szCs w:val="24"/>
        </w:rPr>
        <w:t>large increases over the nearly 40-year period, chiefly driven by reductions in earnings at the lower (and even middle) percentiles, which are in turn a symptom of the 7-point reduction in employment rates</w:t>
      </w:r>
      <w:r w:rsidR="00D373D5" w:rsidRPr="0084234A">
        <w:rPr>
          <w:rFonts w:ascii="Times New Roman" w:hAnsi="Times New Roman" w:cs="Times New Roman"/>
          <w:sz w:val="24"/>
          <w:szCs w:val="24"/>
        </w:rPr>
        <w:t xml:space="preserve">. </w:t>
      </w:r>
      <w:r w:rsidR="00411D7C">
        <w:rPr>
          <w:rFonts w:ascii="Times New Roman" w:hAnsi="Times New Roman" w:cs="Times New Roman"/>
          <w:sz w:val="24"/>
          <w:szCs w:val="24"/>
        </w:rPr>
        <w:t xml:space="preserve">The causal method is </w:t>
      </w:r>
      <w:r w:rsidR="00E244D1">
        <w:rPr>
          <w:rFonts w:ascii="Times New Roman" w:hAnsi="Times New Roman" w:cs="Times New Roman"/>
          <w:sz w:val="24"/>
          <w:szCs w:val="24"/>
        </w:rPr>
        <w:t xml:space="preserve">less </w:t>
      </w:r>
      <w:r w:rsidR="00411D7C">
        <w:rPr>
          <w:rFonts w:ascii="Times New Roman" w:hAnsi="Times New Roman" w:cs="Times New Roman"/>
          <w:sz w:val="24"/>
          <w:szCs w:val="24"/>
        </w:rPr>
        <w:t xml:space="preserve">useful for this sample, since it only increases earnings of those with positive earnings and does not allow for an extensive margin effect on employment. Not surprisingly, the simulated effects on income inequality for this sample are smaller </w:t>
      </w:r>
      <w:r w:rsidR="005E3004">
        <w:rPr>
          <w:rFonts w:ascii="Times New Roman" w:hAnsi="Times New Roman" w:cs="Times New Roman"/>
          <w:sz w:val="24"/>
          <w:szCs w:val="24"/>
        </w:rPr>
        <w:t xml:space="preserve">at the lower end </w:t>
      </w:r>
      <w:r w:rsidR="00411D7C">
        <w:rPr>
          <w:rFonts w:ascii="Times New Roman" w:hAnsi="Times New Roman" w:cs="Times New Roman"/>
          <w:sz w:val="24"/>
          <w:szCs w:val="24"/>
        </w:rPr>
        <w:t>using the causal method than the distribution method. The distribution method results show that increasing the BA rate to 60 percent and the AA rate to 20 percent could lead to meaningful reductions in the 50/25 and 90/25 unconditional earnings ratios.</w:t>
      </w:r>
      <w:r w:rsidR="0061562A">
        <w:rPr>
          <w:rFonts w:ascii="Times New Roman" w:hAnsi="Times New Roman" w:cs="Times New Roman"/>
          <w:sz w:val="24"/>
          <w:szCs w:val="24"/>
        </w:rPr>
        <w:t xml:space="preserve"> </w:t>
      </w:r>
      <w:r w:rsidR="00A24B82" w:rsidRPr="0084234A">
        <w:rPr>
          <w:rFonts w:ascii="Times New Roman" w:hAnsi="Times New Roman" w:cs="Times New Roman"/>
          <w:sz w:val="24"/>
          <w:szCs w:val="24"/>
        </w:rPr>
        <w:t xml:space="preserve">The </w:t>
      </w:r>
      <w:r w:rsidR="00411D7C">
        <w:rPr>
          <w:rFonts w:ascii="Times New Roman" w:hAnsi="Times New Roman" w:cs="Times New Roman"/>
          <w:sz w:val="24"/>
          <w:szCs w:val="24"/>
        </w:rPr>
        <w:t>50/25 ratio</w:t>
      </w:r>
      <w:r w:rsidR="00EE164E">
        <w:rPr>
          <w:rFonts w:ascii="Times New Roman" w:hAnsi="Times New Roman" w:cs="Times New Roman"/>
          <w:sz w:val="24"/>
          <w:szCs w:val="24"/>
        </w:rPr>
        <w:t>, which rose from 1.71 to 2.18</w:t>
      </w:r>
      <w:r w:rsidR="00D373D5" w:rsidRPr="0084234A">
        <w:rPr>
          <w:rFonts w:ascii="Times New Roman" w:hAnsi="Times New Roman" w:cs="Times New Roman"/>
          <w:sz w:val="24"/>
          <w:szCs w:val="24"/>
        </w:rPr>
        <w:t xml:space="preserve">, </w:t>
      </w:r>
      <w:r w:rsidR="00EE164E">
        <w:rPr>
          <w:rFonts w:ascii="Times New Roman" w:hAnsi="Times New Roman" w:cs="Times New Roman"/>
          <w:sz w:val="24"/>
          <w:szCs w:val="24"/>
        </w:rPr>
        <w:t>would fall to</w:t>
      </w:r>
      <w:r w:rsidR="00411D7C">
        <w:rPr>
          <w:rFonts w:ascii="Times New Roman" w:hAnsi="Times New Roman" w:cs="Times New Roman"/>
          <w:sz w:val="24"/>
          <w:szCs w:val="24"/>
        </w:rPr>
        <w:t xml:space="preserve"> 1.8</w:t>
      </w:r>
      <w:r w:rsidR="001721A4">
        <w:rPr>
          <w:rFonts w:ascii="Times New Roman" w:hAnsi="Times New Roman" w:cs="Times New Roman"/>
          <w:sz w:val="24"/>
          <w:szCs w:val="24"/>
        </w:rPr>
        <w:t>8</w:t>
      </w:r>
      <w:r w:rsidR="00411D7C">
        <w:rPr>
          <w:rFonts w:ascii="Times New Roman" w:hAnsi="Times New Roman" w:cs="Times New Roman"/>
          <w:sz w:val="24"/>
          <w:szCs w:val="24"/>
        </w:rPr>
        <w:t>. The 90/25</w:t>
      </w:r>
      <w:r w:rsidR="00112045">
        <w:rPr>
          <w:rFonts w:ascii="Times New Roman" w:hAnsi="Times New Roman" w:cs="Times New Roman"/>
          <w:sz w:val="24"/>
          <w:szCs w:val="24"/>
        </w:rPr>
        <w:t xml:space="preserve"> ratio</w:t>
      </w:r>
      <w:r w:rsidR="00411D7C">
        <w:rPr>
          <w:rFonts w:ascii="Times New Roman" w:hAnsi="Times New Roman" w:cs="Times New Roman"/>
          <w:sz w:val="24"/>
          <w:szCs w:val="24"/>
        </w:rPr>
        <w:t xml:space="preserve">, </w:t>
      </w:r>
      <w:r w:rsidR="00EE164E">
        <w:rPr>
          <w:rFonts w:ascii="Times New Roman" w:hAnsi="Times New Roman" w:cs="Times New Roman"/>
          <w:sz w:val="24"/>
          <w:szCs w:val="24"/>
        </w:rPr>
        <w:t xml:space="preserve">which rose </w:t>
      </w:r>
      <w:r w:rsidR="00112045">
        <w:rPr>
          <w:rFonts w:ascii="Times New Roman" w:hAnsi="Times New Roman" w:cs="Times New Roman"/>
          <w:sz w:val="24"/>
          <w:szCs w:val="24"/>
        </w:rPr>
        <w:t xml:space="preserve">from </w:t>
      </w:r>
      <w:r w:rsidR="00EE164E">
        <w:rPr>
          <w:rFonts w:ascii="Times New Roman" w:hAnsi="Times New Roman" w:cs="Times New Roman"/>
          <w:sz w:val="24"/>
          <w:szCs w:val="24"/>
        </w:rPr>
        <w:t xml:space="preserve">3.33 to 6.00, would fall to </w:t>
      </w:r>
      <w:r w:rsidR="00A0669F">
        <w:rPr>
          <w:rFonts w:ascii="Times New Roman" w:hAnsi="Times New Roman" w:cs="Times New Roman"/>
          <w:sz w:val="24"/>
          <w:szCs w:val="24"/>
        </w:rPr>
        <w:t>4</w:t>
      </w:r>
      <w:r w:rsidR="00EE164E">
        <w:rPr>
          <w:rFonts w:ascii="Times New Roman" w:hAnsi="Times New Roman" w:cs="Times New Roman"/>
          <w:sz w:val="24"/>
          <w:szCs w:val="24"/>
        </w:rPr>
        <w:t>.</w:t>
      </w:r>
      <w:r w:rsidR="00C52EDA">
        <w:rPr>
          <w:rFonts w:ascii="Times New Roman" w:hAnsi="Times New Roman" w:cs="Times New Roman"/>
          <w:sz w:val="24"/>
          <w:szCs w:val="24"/>
        </w:rPr>
        <w:t>8</w:t>
      </w:r>
      <w:r w:rsidR="00A0669F">
        <w:rPr>
          <w:rFonts w:ascii="Times New Roman" w:hAnsi="Times New Roman" w:cs="Times New Roman"/>
          <w:sz w:val="24"/>
          <w:szCs w:val="24"/>
        </w:rPr>
        <w:t>3</w:t>
      </w:r>
      <w:r w:rsidR="00EE164E">
        <w:rPr>
          <w:rFonts w:ascii="Times New Roman" w:hAnsi="Times New Roman" w:cs="Times New Roman"/>
          <w:sz w:val="24"/>
          <w:szCs w:val="24"/>
        </w:rPr>
        <w:t>. As expected, the more intense simulations are associated with larger reductions</w:t>
      </w:r>
      <w:r w:rsidR="00A73E68">
        <w:rPr>
          <w:rFonts w:ascii="Times New Roman" w:hAnsi="Times New Roman" w:cs="Times New Roman"/>
          <w:sz w:val="24"/>
          <w:szCs w:val="24"/>
        </w:rPr>
        <w:t xml:space="preserve">. </w:t>
      </w:r>
      <w:r w:rsidR="00EE164E">
        <w:rPr>
          <w:rFonts w:ascii="Times New Roman" w:hAnsi="Times New Roman" w:cs="Times New Roman"/>
          <w:sz w:val="24"/>
          <w:szCs w:val="24"/>
        </w:rPr>
        <w:t xml:space="preserve">The distribution method simulation also suggests the employment rate would rise by </w:t>
      </w:r>
      <w:r w:rsidR="00476E01">
        <w:rPr>
          <w:rFonts w:ascii="Times New Roman" w:hAnsi="Times New Roman" w:cs="Times New Roman"/>
          <w:sz w:val="24"/>
          <w:szCs w:val="24"/>
        </w:rPr>
        <w:t>1</w:t>
      </w:r>
      <w:r w:rsidR="005E3004">
        <w:rPr>
          <w:rFonts w:ascii="Times New Roman" w:hAnsi="Times New Roman" w:cs="Times New Roman"/>
          <w:sz w:val="24"/>
          <w:szCs w:val="24"/>
        </w:rPr>
        <w:t>.2</w:t>
      </w:r>
      <w:r w:rsidR="005E3004">
        <w:rPr>
          <w:rFonts w:ascii="Times New Roman" w:hAnsi="Times New Roman" w:cs="Times New Roman"/>
          <w:sz w:val="24"/>
          <w:szCs w:val="24"/>
        </w:rPr>
        <w:sym w:font="Symbol" w:char="F02D"/>
      </w:r>
      <w:r w:rsidR="00476E01">
        <w:rPr>
          <w:rFonts w:ascii="Times New Roman" w:hAnsi="Times New Roman" w:cs="Times New Roman"/>
          <w:sz w:val="24"/>
          <w:szCs w:val="24"/>
        </w:rPr>
        <w:t>2.</w:t>
      </w:r>
      <w:r w:rsidR="005E3004">
        <w:rPr>
          <w:rFonts w:ascii="Times New Roman" w:hAnsi="Times New Roman" w:cs="Times New Roman"/>
          <w:sz w:val="24"/>
          <w:szCs w:val="24"/>
        </w:rPr>
        <w:t>8</w:t>
      </w:r>
      <w:r w:rsidR="00EE164E">
        <w:rPr>
          <w:rFonts w:ascii="Times New Roman" w:hAnsi="Times New Roman" w:cs="Times New Roman"/>
          <w:sz w:val="24"/>
          <w:szCs w:val="24"/>
        </w:rPr>
        <w:t xml:space="preserve"> percentage points, suggesting gains below the 25</w:t>
      </w:r>
      <w:r w:rsidR="00EE164E" w:rsidRPr="00496F53">
        <w:rPr>
          <w:rFonts w:ascii="Times New Roman" w:hAnsi="Times New Roman" w:cs="Times New Roman"/>
          <w:sz w:val="24"/>
          <w:szCs w:val="24"/>
          <w:vertAlign w:val="superscript"/>
        </w:rPr>
        <w:t>th</w:t>
      </w:r>
      <w:r w:rsidR="00EE164E">
        <w:rPr>
          <w:rFonts w:ascii="Times New Roman" w:hAnsi="Times New Roman" w:cs="Times New Roman"/>
          <w:sz w:val="24"/>
          <w:szCs w:val="24"/>
        </w:rPr>
        <w:t xml:space="preserve"> percentile not captured by the displayed ratios</w:t>
      </w:r>
      <w:r w:rsidR="00A24B82">
        <w:rPr>
          <w:rFonts w:ascii="Times New Roman" w:hAnsi="Times New Roman" w:cs="Times New Roman"/>
          <w:sz w:val="24"/>
          <w:szCs w:val="24"/>
        </w:rPr>
        <w:t>.</w:t>
      </w:r>
      <w:r w:rsidR="00EE164E">
        <w:rPr>
          <w:rStyle w:val="FootnoteReference"/>
          <w:rFonts w:ascii="Times New Roman" w:hAnsi="Times New Roman" w:cs="Times New Roman"/>
          <w:sz w:val="24"/>
          <w:szCs w:val="24"/>
        </w:rPr>
        <w:footnoteReference w:id="17"/>
      </w:r>
    </w:p>
    <w:p w14:paraId="7430EA77" w14:textId="2542A59A" w:rsidR="005714E6" w:rsidRDefault="00063733" w:rsidP="00E34AE4">
      <w:pPr>
        <w:spacing w:after="0" w:line="480" w:lineRule="auto"/>
        <w:rPr>
          <w:rFonts w:ascii="Times New Roman" w:hAnsi="Times New Roman" w:cs="Times New Roman"/>
          <w:sz w:val="24"/>
          <w:szCs w:val="24"/>
        </w:rPr>
      </w:pPr>
      <w:r w:rsidRPr="00063733">
        <w:rPr>
          <w:rFonts w:ascii="Times New Roman" w:hAnsi="Times New Roman" w:cs="Times New Roman"/>
          <w:sz w:val="24"/>
          <w:szCs w:val="24"/>
        </w:rPr>
        <w:tab/>
      </w:r>
      <w:proofErr w:type="gramStart"/>
      <w:r w:rsidRPr="00063733">
        <w:rPr>
          <w:rFonts w:ascii="Times New Roman" w:hAnsi="Times New Roman" w:cs="Times New Roman"/>
          <w:sz w:val="24"/>
          <w:szCs w:val="24"/>
        </w:rPr>
        <w:t xml:space="preserve">Table </w:t>
      </w:r>
      <w:r w:rsidR="00496F53">
        <w:rPr>
          <w:rFonts w:ascii="Times New Roman" w:hAnsi="Times New Roman" w:cs="Times New Roman"/>
          <w:sz w:val="24"/>
          <w:szCs w:val="24"/>
        </w:rPr>
        <w:t>5</w:t>
      </w:r>
      <w:r>
        <w:rPr>
          <w:rFonts w:ascii="Times New Roman" w:hAnsi="Times New Roman" w:cs="Times New Roman"/>
          <w:sz w:val="24"/>
          <w:szCs w:val="24"/>
        </w:rPr>
        <w:t xml:space="preserve"> reports the results of the simulated increase in college attainment on measures of individual level economic insecurity, as captured by four poverty measures: deep poverty (family income less than 50</w:t>
      </w:r>
      <w:r w:rsidR="009E54A6">
        <w:rPr>
          <w:rFonts w:ascii="Times New Roman" w:hAnsi="Times New Roman" w:cs="Times New Roman"/>
          <w:sz w:val="24"/>
          <w:szCs w:val="24"/>
        </w:rPr>
        <w:t xml:space="preserve"> percent</w:t>
      </w:r>
      <w:r>
        <w:rPr>
          <w:rFonts w:ascii="Times New Roman" w:hAnsi="Times New Roman" w:cs="Times New Roman"/>
          <w:sz w:val="24"/>
          <w:szCs w:val="24"/>
        </w:rPr>
        <w:t xml:space="preserve"> of the </w:t>
      </w:r>
      <w:r w:rsidR="009E54A6">
        <w:rPr>
          <w:rFonts w:ascii="Times New Roman" w:hAnsi="Times New Roman" w:cs="Times New Roman"/>
          <w:sz w:val="24"/>
          <w:szCs w:val="24"/>
        </w:rPr>
        <w:t xml:space="preserve">federal </w:t>
      </w:r>
      <w:r>
        <w:rPr>
          <w:rFonts w:ascii="Times New Roman" w:hAnsi="Times New Roman" w:cs="Times New Roman"/>
          <w:sz w:val="24"/>
          <w:szCs w:val="24"/>
        </w:rPr>
        <w:t>poverty</w:t>
      </w:r>
      <w:r w:rsidR="009E54A6">
        <w:rPr>
          <w:rFonts w:ascii="Times New Roman" w:hAnsi="Times New Roman" w:cs="Times New Roman"/>
          <w:sz w:val="24"/>
          <w:szCs w:val="24"/>
        </w:rPr>
        <w:t xml:space="preserve"> threshold</w:t>
      </w:r>
      <w:r>
        <w:rPr>
          <w:rFonts w:ascii="Times New Roman" w:hAnsi="Times New Roman" w:cs="Times New Roman"/>
          <w:sz w:val="24"/>
          <w:szCs w:val="24"/>
        </w:rPr>
        <w:t>), poverty (family income less than the poverty threshold), near poverty (family income less than 150</w:t>
      </w:r>
      <w:r w:rsidR="009E54A6">
        <w:rPr>
          <w:rFonts w:ascii="Times New Roman" w:hAnsi="Times New Roman" w:cs="Times New Roman"/>
          <w:sz w:val="24"/>
          <w:szCs w:val="24"/>
        </w:rPr>
        <w:t xml:space="preserve"> percent</w:t>
      </w:r>
      <w:r>
        <w:rPr>
          <w:rFonts w:ascii="Times New Roman" w:hAnsi="Times New Roman" w:cs="Times New Roman"/>
          <w:sz w:val="24"/>
          <w:szCs w:val="24"/>
        </w:rPr>
        <w:t xml:space="preserve"> of the threshold), and low income (family income less than 200</w:t>
      </w:r>
      <w:r w:rsidR="009E54A6">
        <w:rPr>
          <w:rFonts w:ascii="Times New Roman" w:hAnsi="Times New Roman" w:cs="Times New Roman"/>
          <w:sz w:val="24"/>
          <w:szCs w:val="24"/>
        </w:rPr>
        <w:t xml:space="preserve"> percent</w:t>
      </w:r>
      <w:r>
        <w:rPr>
          <w:rFonts w:ascii="Times New Roman" w:hAnsi="Times New Roman" w:cs="Times New Roman"/>
          <w:sz w:val="24"/>
          <w:szCs w:val="24"/>
        </w:rPr>
        <w:t xml:space="preserve"> of the federal poverty threshold).</w:t>
      </w:r>
      <w:proofErr w:type="gramEnd"/>
      <w:r>
        <w:rPr>
          <w:rFonts w:ascii="Times New Roman" w:hAnsi="Times New Roman" w:cs="Times New Roman"/>
          <w:sz w:val="24"/>
          <w:szCs w:val="24"/>
        </w:rPr>
        <w:t xml:space="preserve"> </w:t>
      </w:r>
      <w:r w:rsidR="009E54A6">
        <w:rPr>
          <w:rFonts w:ascii="Times New Roman" w:hAnsi="Times New Roman" w:cs="Times New Roman"/>
          <w:sz w:val="24"/>
          <w:szCs w:val="24"/>
        </w:rPr>
        <w:t>Here we follow official rules and define</w:t>
      </w:r>
      <w:r>
        <w:rPr>
          <w:rFonts w:ascii="Times New Roman" w:hAnsi="Times New Roman" w:cs="Times New Roman"/>
          <w:sz w:val="24"/>
          <w:szCs w:val="24"/>
        </w:rPr>
        <w:t xml:space="preserve"> </w:t>
      </w:r>
      <w:r w:rsidR="009E54A6">
        <w:rPr>
          <w:rFonts w:ascii="Times New Roman" w:hAnsi="Times New Roman" w:cs="Times New Roman"/>
          <w:sz w:val="24"/>
          <w:szCs w:val="24"/>
        </w:rPr>
        <w:t xml:space="preserve">an </w:t>
      </w:r>
      <w:r>
        <w:rPr>
          <w:rFonts w:ascii="Times New Roman" w:hAnsi="Times New Roman" w:cs="Times New Roman"/>
          <w:sz w:val="24"/>
          <w:szCs w:val="24"/>
        </w:rPr>
        <w:t xml:space="preserve">individual’s poverty status by whether that individual’s </w:t>
      </w:r>
      <w:r w:rsidRPr="00496F53">
        <w:rPr>
          <w:rFonts w:ascii="Times New Roman" w:hAnsi="Times New Roman" w:cs="Times New Roman"/>
          <w:i/>
          <w:sz w:val="24"/>
          <w:szCs w:val="24"/>
        </w:rPr>
        <w:t>family income</w:t>
      </w:r>
      <w:r>
        <w:rPr>
          <w:rFonts w:ascii="Times New Roman" w:hAnsi="Times New Roman" w:cs="Times New Roman"/>
          <w:sz w:val="24"/>
          <w:szCs w:val="24"/>
        </w:rPr>
        <w:t xml:space="preserve"> is less than the corresponding Census poverty threshold, which varies by family size and </w:t>
      </w:r>
      <w:r>
        <w:rPr>
          <w:rFonts w:ascii="Times New Roman" w:hAnsi="Times New Roman" w:cs="Times New Roman"/>
          <w:sz w:val="24"/>
          <w:szCs w:val="24"/>
        </w:rPr>
        <w:lastRenderedPageBreak/>
        <w:t>composition</w:t>
      </w:r>
      <w:r w:rsidR="009E54A6">
        <w:rPr>
          <w:rFonts w:ascii="Times New Roman" w:hAnsi="Times New Roman" w:cs="Times New Roman"/>
          <w:sz w:val="24"/>
          <w:szCs w:val="24"/>
        </w:rPr>
        <w:t>.</w:t>
      </w:r>
      <w:r>
        <w:rPr>
          <w:rStyle w:val="FootnoteReference"/>
          <w:rFonts w:ascii="Times New Roman" w:hAnsi="Times New Roman" w:cs="Times New Roman"/>
          <w:sz w:val="24"/>
          <w:szCs w:val="24"/>
        </w:rPr>
        <w:footnoteReference w:id="18"/>
      </w:r>
      <w:r w:rsidR="00BB37C4">
        <w:rPr>
          <w:rFonts w:ascii="Times New Roman" w:hAnsi="Times New Roman" w:cs="Times New Roman"/>
          <w:sz w:val="24"/>
          <w:szCs w:val="24"/>
        </w:rPr>
        <w:t xml:space="preserve"> As reported in the table, </w:t>
      </w:r>
      <w:r w:rsidR="009E54A6">
        <w:rPr>
          <w:rFonts w:ascii="Times New Roman" w:hAnsi="Times New Roman" w:cs="Times New Roman"/>
          <w:sz w:val="24"/>
          <w:szCs w:val="24"/>
        </w:rPr>
        <w:t xml:space="preserve">all four measures of </w:t>
      </w:r>
      <w:r w:rsidR="00BB37C4">
        <w:rPr>
          <w:rFonts w:ascii="Times New Roman" w:hAnsi="Times New Roman" w:cs="Times New Roman"/>
          <w:sz w:val="24"/>
          <w:szCs w:val="24"/>
        </w:rPr>
        <w:t xml:space="preserve">poverty increased between 1979 </w:t>
      </w:r>
      <w:r w:rsidR="009E54A6">
        <w:rPr>
          <w:rFonts w:ascii="Times New Roman" w:hAnsi="Times New Roman" w:cs="Times New Roman"/>
          <w:sz w:val="24"/>
          <w:szCs w:val="24"/>
        </w:rPr>
        <w:t>and</w:t>
      </w:r>
      <w:r w:rsidR="00BB37C4">
        <w:rPr>
          <w:rFonts w:ascii="Times New Roman" w:hAnsi="Times New Roman" w:cs="Times New Roman"/>
          <w:sz w:val="24"/>
          <w:szCs w:val="24"/>
        </w:rPr>
        <w:t xml:space="preserve"> 2018 among adults age 25 to 54. The share of </w:t>
      </w:r>
      <w:r w:rsidR="009E54A6">
        <w:rPr>
          <w:rFonts w:ascii="Times New Roman" w:hAnsi="Times New Roman" w:cs="Times New Roman"/>
          <w:sz w:val="24"/>
          <w:szCs w:val="24"/>
        </w:rPr>
        <w:t xml:space="preserve">prime-age </w:t>
      </w:r>
      <w:r w:rsidR="00BB37C4">
        <w:rPr>
          <w:rFonts w:ascii="Times New Roman" w:hAnsi="Times New Roman" w:cs="Times New Roman"/>
          <w:sz w:val="24"/>
          <w:szCs w:val="24"/>
        </w:rPr>
        <w:t>adults living below the poverty line increased from 8.2</w:t>
      </w:r>
      <w:r w:rsidR="009E54A6">
        <w:rPr>
          <w:rFonts w:ascii="Times New Roman" w:hAnsi="Times New Roman" w:cs="Times New Roman"/>
          <w:sz w:val="24"/>
          <w:szCs w:val="24"/>
        </w:rPr>
        <w:t xml:space="preserve"> </w:t>
      </w:r>
      <w:r w:rsidR="00BB37C4">
        <w:rPr>
          <w:rFonts w:ascii="Times New Roman" w:hAnsi="Times New Roman" w:cs="Times New Roman"/>
          <w:sz w:val="24"/>
          <w:szCs w:val="24"/>
        </w:rPr>
        <w:t>to 11.3</w:t>
      </w:r>
      <w:r w:rsidR="009E54A6">
        <w:rPr>
          <w:rFonts w:ascii="Times New Roman" w:hAnsi="Times New Roman" w:cs="Times New Roman"/>
          <w:sz w:val="24"/>
          <w:szCs w:val="24"/>
        </w:rPr>
        <w:t xml:space="preserve"> percent,</w:t>
      </w:r>
      <w:r w:rsidR="00BB37C4">
        <w:rPr>
          <w:rFonts w:ascii="Times New Roman" w:hAnsi="Times New Roman" w:cs="Times New Roman"/>
          <w:sz w:val="24"/>
          <w:szCs w:val="24"/>
        </w:rPr>
        <w:t xml:space="preserve"> and the share living in deep poverty increased from </w:t>
      </w:r>
      <w:r w:rsidR="009E54A6">
        <w:rPr>
          <w:rFonts w:ascii="Times New Roman" w:hAnsi="Times New Roman" w:cs="Times New Roman"/>
          <w:sz w:val="24"/>
          <w:szCs w:val="24"/>
        </w:rPr>
        <w:t xml:space="preserve">3.0 </w:t>
      </w:r>
      <w:r w:rsidR="005714E6">
        <w:rPr>
          <w:rFonts w:ascii="Times New Roman" w:hAnsi="Times New Roman" w:cs="Times New Roman"/>
          <w:sz w:val="24"/>
          <w:szCs w:val="24"/>
        </w:rPr>
        <w:t>to 5.</w:t>
      </w:r>
      <w:r w:rsidR="009E54A6">
        <w:rPr>
          <w:rFonts w:ascii="Times New Roman" w:hAnsi="Times New Roman" w:cs="Times New Roman"/>
          <w:sz w:val="24"/>
          <w:szCs w:val="24"/>
        </w:rPr>
        <w:t>6 percent</w:t>
      </w:r>
      <w:r w:rsidR="005714E6">
        <w:rPr>
          <w:rFonts w:ascii="Times New Roman" w:hAnsi="Times New Roman" w:cs="Times New Roman"/>
          <w:sz w:val="24"/>
          <w:szCs w:val="24"/>
        </w:rPr>
        <w:t xml:space="preserve">. </w:t>
      </w:r>
    </w:p>
    <w:p w14:paraId="4A01D864" w14:textId="502281BB" w:rsidR="002E0DAC" w:rsidRDefault="005714E6" w:rsidP="00E34AE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To simulate the effect on poverty of increased college attainment, we calculate simulated poverty rates </w:t>
      </w:r>
      <w:r w:rsidR="00E2173A">
        <w:rPr>
          <w:rFonts w:ascii="Times New Roman" w:hAnsi="Times New Roman" w:cs="Times New Roman"/>
          <w:sz w:val="24"/>
          <w:szCs w:val="24"/>
        </w:rPr>
        <w:t xml:space="preserve">by </w:t>
      </w:r>
      <w:r>
        <w:rPr>
          <w:rFonts w:ascii="Times New Roman" w:hAnsi="Times New Roman" w:cs="Times New Roman"/>
          <w:sz w:val="24"/>
          <w:szCs w:val="24"/>
        </w:rPr>
        <w:t xml:space="preserve">taking </w:t>
      </w:r>
      <w:r w:rsidR="00E2173A">
        <w:rPr>
          <w:rFonts w:ascii="Times New Roman" w:hAnsi="Times New Roman" w:cs="Times New Roman"/>
          <w:sz w:val="24"/>
          <w:szCs w:val="24"/>
        </w:rPr>
        <w:t xml:space="preserve">an individual’s </w:t>
      </w:r>
      <w:r>
        <w:rPr>
          <w:rFonts w:ascii="Times New Roman" w:hAnsi="Times New Roman" w:cs="Times New Roman"/>
          <w:sz w:val="24"/>
          <w:szCs w:val="24"/>
        </w:rPr>
        <w:t xml:space="preserve">2018 family income and adding </w:t>
      </w:r>
      <w:r w:rsidR="00E2173A">
        <w:rPr>
          <w:rFonts w:ascii="Times New Roman" w:hAnsi="Times New Roman" w:cs="Times New Roman"/>
          <w:sz w:val="24"/>
          <w:szCs w:val="24"/>
        </w:rPr>
        <w:t xml:space="preserve">any of </w:t>
      </w:r>
      <w:r>
        <w:rPr>
          <w:rFonts w:ascii="Times New Roman" w:hAnsi="Times New Roman" w:cs="Times New Roman"/>
          <w:sz w:val="24"/>
          <w:szCs w:val="24"/>
        </w:rPr>
        <w:t>the</w:t>
      </w:r>
      <w:r w:rsidR="00E2173A">
        <w:rPr>
          <w:rFonts w:ascii="Times New Roman" w:hAnsi="Times New Roman" w:cs="Times New Roman"/>
          <w:sz w:val="24"/>
          <w:szCs w:val="24"/>
        </w:rPr>
        <w:t>ir</w:t>
      </w:r>
      <w:r>
        <w:rPr>
          <w:rFonts w:ascii="Times New Roman" w:hAnsi="Times New Roman" w:cs="Times New Roman"/>
          <w:sz w:val="24"/>
          <w:szCs w:val="24"/>
        </w:rPr>
        <w:t xml:space="preserve"> </w:t>
      </w:r>
      <w:r w:rsidR="00E2173A">
        <w:rPr>
          <w:rFonts w:ascii="Times New Roman" w:hAnsi="Times New Roman" w:cs="Times New Roman"/>
          <w:sz w:val="24"/>
          <w:szCs w:val="24"/>
        </w:rPr>
        <w:t xml:space="preserve">own </w:t>
      </w:r>
      <w:r>
        <w:rPr>
          <w:rFonts w:ascii="Times New Roman" w:hAnsi="Times New Roman" w:cs="Times New Roman"/>
          <w:sz w:val="24"/>
          <w:szCs w:val="24"/>
        </w:rPr>
        <w:t>additional earnings</w:t>
      </w:r>
      <w:r w:rsidR="00E2173A">
        <w:rPr>
          <w:rFonts w:ascii="Times New Roman" w:hAnsi="Times New Roman" w:cs="Times New Roman"/>
          <w:sz w:val="24"/>
          <w:szCs w:val="24"/>
        </w:rPr>
        <w:t xml:space="preserve"> assigned by the simulation.</w:t>
      </w:r>
      <w:r>
        <w:rPr>
          <w:rFonts w:ascii="Times New Roman" w:hAnsi="Times New Roman" w:cs="Times New Roman"/>
          <w:sz w:val="24"/>
          <w:szCs w:val="24"/>
        </w:rPr>
        <w:t xml:space="preserve"> </w:t>
      </w:r>
      <w:r w:rsidR="00E2173A">
        <w:rPr>
          <w:rFonts w:ascii="Times New Roman" w:hAnsi="Times New Roman" w:cs="Times New Roman"/>
          <w:sz w:val="24"/>
          <w:szCs w:val="24"/>
        </w:rPr>
        <w:t>Our calculation a</w:t>
      </w:r>
      <w:r w:rsidR="00496F53">
        <w:rPr>
          <w:rFonts w:ascii="Times New Roman" w:hAnsi="Times New Roman" w:cs="Times New Roman"/>
          <w:sz w:val="24"/>
          <w:szCs w:val="24"/>
        </w:rPr>
        <w:t>ssumes family structure is fixe</w:t>
      </w:r>
      <w:r w:rsidR="00A73E68">
        <w:rPr>
          <w:rFonts w:ascii="Times New Roman" w:hAnsi="Times New Roman" w:cs="Times New Roman"/>
          <w:sz w:val="24"/>
          <w:szCs w:val="24"/>
        </w:rPr>
        <w:t>d</w:t>
      </w:r>
      <w:r w:rsidR="00496F53">
        <w:rPr>
          <w:rFonts w:ascii="Times New Roman" w:hAnsi="Times New Roman" w:cs="Times New Roman"/>
          <w:sz w:val="24"/>
          <w:szCs w:val="24"/>
        </w:rPr>
        <w:t xml:space="preserve"> and there is no induced change in other family members’ earnings; nor does it</w:t>
      </w:r>
      <w:r w:rsidR="00E2173A">
        <w:rPr>
          <w:rFonts w:ascii="Times New Roman" w:hAnsi="Times New Roman" w:cs="Times New Roman"/>
          <w:sz w:val="24"/>
          <w:szCs w:val="24"/>
        </w:rPr>
        <w:t xml:space="preserve"> </w:t>
      </w:r>
      <w:r>
        <w:rPr>
          <w:rFonts w:ascii="Times New Roman" w:hAnsi="Times New Roman" w:cs="Times New Roman"/>
          <w:sz w:val="24"/>
          <w:szCs w:val="24"/>
        </w:rPr>
        <w:t xml:space="preserve">adjust income for </w:t>
      </w:r>
      <w:r w:rsidR="00E2173A">
        <w:rPr>
          <w:rFonts w:ascii="Times New Roman" w:hAnsi="Times New Roman" w:cs="Times New Roman"/>
          <w:sz w:val="24"/>
          <w:szCs w:val="24"/>
        </w:rPr>
        <w:t>any</w:t>
      </w:r>
      <w:r>
        <w:rPr>
          <w:rFonts w:ascii="Times New Roman" w:hAnsi="Times New Roman" w:cs="Times New Roman"/>
          <w:sz w:val="24"/>
          <w:szCs w:val="24"/>
        </w:rPr>
        <w:t xml:space="preserve"> change</w:t>
      </w:r>
      <w:r w:rsidR="00E2173A">
        <w:rPr>
          <w:rFonts w:ascii="Times New Roman" w:hAnsi="Times New Roman" w:cs="Times New Roman"/>
          <w:sz w:val="24"/>
          <w:szCs w:val="24"/>
        </w:rPr>
        <w:t>s</w:t>
      </w:r>
      <w:r>
        <w:rPr>
          <w:rFonts w:ascii="Times New Roman" w:hAnsi="Times New Roman" w:cs="Times New Roman"/>
          <w:sz w:val="24"/>
          <w:szCs w:val="24"/>
        </w:rPr>
        <w:t xml:space="preserve"> in taxes and transfers that would result from </w:t>
      </w:r>
      <w:r w:rsidR="00E2173A">
        <w:rPr>
          <w:rFonts w:ascii="Times New Roman" w:hAnsi="Times New Roman" w:cs="Times New Roman"/>
          <w:sz w:val="24"/>
          <w:szCs w:val="24"/>
        </w:rPr>
        <w:t xml:space="preserve">an increase in </w:t>
      </w:r>
      <w:r>
        <w:rPr>
          <w:rFonts w:ascii="Times New Roman" w:hAnsi="Times New Roman" w:cs="Times New Roman"/>
          <w:sz w:val="24"/>
          <w:szCs w:val="24"/>
        </w:rPr>
        <w:t xml:space="preserve">family </w:t>
      </w:r>
      <w:r w:rsidR="00304E98">
        <w:rPr>
          <w:rFonts w:ascii="Times New Roman" w:hAnsi="Times New Roman" w:cs="Times New Roman"/>
          <w:sz w:val="24"/>
          <w:szCs w:val="24"/>
        </w:rPr>
        <w:t>earnings</w:t>
      </w:r>
      <w:r>
        <w:rPr>
          <w:rFonts w:ascii="Times New Roman" w:hAnsi="Times New Roman" w:cs="Times New Roman"/>
          <w:sz w:val="24"/>
          <w:szCs w:val="24"/>
        </w:rPr>
        <w:t xml:space="preserve">. Because this approach ignores any potential increase in taxes and reduction in transfer benefits, it likely overstates the increase in </w:t>
      </w:r>
      <w:r w:rsidR="002E0DAC">
        <w:rPr>
          <w:rFonts w:ascii="Times New Roman" w:hAnsi="Times New Roman" w:cs="Times New Roman"/>
          <w:sz w:val="24"/>
          <w:szCs w:val="24"/>
        </w:rPr>
        <w:t xml:space="preserve">“true” </w:t>
      </w:r>
      <w:r>
        <w:rPr>
          <w:rFonts w:ascii="Times New Roman" w:hAnsi="Times New Roman" w:cs="Times New Roman"/>
          <w:sz w:val="24"/>
          <w:szCs w:val="24"/>
        </w:rPr>
        <w:t xml:space="preserve">household income and corresponding reduction in poverty. (An obvious exception is that some households might see an increase in their Earned Income Tax Credit.) </w:t>
      </w:r>
      <w:r w:rsidR="002E0DAC">
        <w:rPr>
          <w:rFonts w:ascii="Times New Roman" w:hAnsi="Times New Roman" w:cs="Times New Roman"/>
          <w:sz w:val="24"/>
          <w:szCs w:val="24"/>
        </w:rPr>
        <w:t xml:space="preserve">However, because in-kind transfers and taxes </w:t>
      </w:r>
      <w:proofErr w:type="gramStart"/>
      <w:r w:rsidR="002E0DAC">
        <w:rPr>
          <w:rFonts w:ascii="Times New Roman" w:hAnsi="Times New Roman" w:cs="Times New Roman"/>
          <w:sz w:val="24"/>
          <w:szCs w:val="24"/>
        </w:rPr>
        <w:t>are excluded</w:t>
      </w:r>
      <w:proofErr w:type="gramEnd"/>
      <w:r w:rsidR="002E0DAC">
        <w:rPr>
          <w:rFonts w:ascii="Times New Roman" w:hAnsi="Times New Roman" w:cs="Times New Roman"/>
          <w:sz w:val="24"/>
          <w:szCs w:val="24"/>
        </w:rPr>
        <w:t xml:space="preserve"> from official poverty estimates, our approach is reasonable when using that measure as reference.</w:t>
      </w:r>
      <w:r w:rsidR="00F80D04">
        <w:rPr>
          <w:rStyle w:val="FootnoteReference"/>
          <w:rFonts w:ascii="Times New Roman" w:hAnsi="Times New Roman" w:cs="Times New Roman"/>
          <w:sz w:val="24"/>
          <w:szCs w:val="24"/>
        </w:rPr>
        <w:footnoteReference w:id="19"/>
      </w:r>
      <w:r w:rsidR="002E0DAC">
        <w:rPr>
          <w:rFonts w:ascii="Times New Roman" w:hAnsi="Times New Roman" w:cs="Times New Roman"/>
          <w:sz w:val="24"/>
          <w:szCs w:val="24"/>
        </w:rPr>
        <w:t xml:space="preserve"> </w:t>
      </w:r>
    </w:p>
    <w:p w14:paraId="7A29C35F" w14:textId="74E12E84" w:rsidR="001C5B33" w:rsidRDefault="00CA18DC" w:rsidP="002E0DA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Based on the results of applying the distribution method, t</w:t>
      </w:r>
      <w:r w:rsidR="005714E6">
        <w:rPr>
          <w:rFonts w:ascii="Times New Roman" w:hAnsi="Times New Roman" w:cs="Times New Roman"/>
          <w:sz w:val="24"/>
          <w:szCs w:val="24"/>
        </w:rPr>
        <w:t xml:space="preserve">he simulated effect of increasing the </w:t>
      </w:r>
      <w:r w:rsidR="0049145E">
        <w:rPr>
          <w:rFonts w:ascii="Times New Roman" w:hAnsi="Times New Roman" w:cs="Times New Roman"/>
          <w:sz w:val="24"/>
          <w:szCs w:val="24"/>
        </w:rPr>
        <w:t>B</w:t>
      </w:r>
      <w:r w:rsidR="005714E6">
        <w:rPr>
          <w:rFonts w:ascii="Times New Roman" w:hAnsi="Times New Roman" w:cs="Times New Roman"/>
          <w:sz w:val="24"/>
          <w:szCs w:val="24"/>
        </w:rPr>
        <w:t xml:space="preserve">A share to </w:t>
      </w:r>
      <w:r w:rsidR="0049145E">
        <w:rPr>
          <w:rFonts w:ascii="Times New Roman" w:hAnsi="Times New Roman" w:cs="Times New Roman"/>
          <w:sz w:val="24"/>
          <w:szCs w:val="24"/>
        </w:rPr>
        <w:t>6</w:t>
      </w:r>
      <w:r w:rsidR="005714E6">
        <w:rPr>
          <w:rFonts w:ascii="Times New Roman" w:hAnsi="Times New Roman" w:cs="Times New Roman"/>
          <w:sz w:val="24"/>
          <w:szCs w:val="24"/>
        </w:rPr>
        <w:t>0</w:t>
      </w:r>
      <w:r w:rsidR="0049145E">
        <w:rPr>
          <w:rFonts w:ascii="Times New Roman" w:hAnsi="Times New Roman" w:cs="Times New Roman"/>
          <w:sz w:val="24"/>
          <w:szCs w:val="24"/>
        </w:rPr>
        <w:t xml:space="preserve"> percent</w:t>
      </w:r>
      <w:r w:rsidR="005714E6">
        <w:rPr>
          <w:rFonts w:ascii="Times New Roman" w:hAnsi="Times New Roman" w:cs="Times New Roman"/>
          <w:sz w:val="24"/>
          <w:szCs w:val="24"/>
        </w:rPr>
        <w:t xml:space="preserve"> and the </w:t>
      </w:r>
      <w:r w:rsidR="0049145E">
        <w:rPr>
          <w:rFonts w:ascii="Times New Roman" w:hAnsi="Times New Roman" w:cs="Times New Roman"/>
          <w:sz w:val="24"/>
          <w:szCs w:val="24"/>
        </w:rPr>
        <w:t>A</w:t>
      </w:r>
      <w:r w:rsidR="005714E6">
        <w:rPr>
          <w:rFonts w:ascii="Times New Roman" w:hAnsi="Times New Roman" w:cs="Times New Roman"/>
          <w:sz w:val="24"/>
          <w:szCs w:val="24"/>
        </w:rPr>
        <w:t xml:space="preserve">A share to </w:t>
      </w:r>
      <w:r w:rsidR="0049145E">
        <w:rPr>
          <w:rFonts w:ascii="Times New Roman" w:hAnsi="Times New Roman" w:cs="Times New Roman"/>
          <w:sz w:val="24"/>
          <w:szCs w:val="24"/>
        </w:rPr>
        <w:t>2</w:t>
      </w:r>
      <w:r w:rsidR="005714E6">
        <w:rPr>
          <w:rFonts w:ascii="Times New Roman" w:hAnsi="Times New Roman" w:cs="Times New Roman"/>
          <w:sz w:val="24"/>
          <w:szCs w:val="24"/>
        </w:rPr>
        <w:t>0</w:t>
      </w:r>
      <w:r w:rsidR="0049145E">
        <w:rPr>
          <w:rFonts w:ascii="Times New Roman" w:hAnsi="Times New Roman" w:cs="Times New Roman"/>
          <w:sz w:val="24"/>
          <w:szCs w:val="24"/>
        </w:rPr>
        <w:t xml:space="preserve"> percent</w:t>
      </w:r>
      <w:r w:rsidR="005714E6">
        <w:rPr>
          <w:rFonts w:ascii="Times New Roman" w:hAnsi="Times New Roman" w:cs="Times New Roman"/>
          <w:sz w:val="24"/>
          <w:szCs w:val="24"/>
        </w:rPr>
        <w:t xml:space="preserve"> is to reduce the poverty rate </w:t>
      </w:r>
      <w:r w:rsidR="0049145E">
        <w:rPr>
          <w:rFonts w:ascii="Times New Roman" w:hAnsi="Times New Roman" w:cs="Times New Roman"/>
          <w:sz w:val="24"/>
          <w:szCs w:val="24"/>
        </w:rPr>
        <w:t xml:space="preserve">by </w:t>
      </w:r>
      <w:r w:rsidR="00F931BC">
        <w:rPr>
          <w:rFonts w:ascii="Times New Roman" w:hAnsi="Times New Roman" w:cs="Times New Roman"/>
          <w:sz w:val="24"/>
          <w:szCs w:val="24"/>
        </w:rPr>
        <w:t>2.</w:t>
      </w:r>
      <w:r w:rsidR="00DF7721">
        <w:rPr>
          <w:rFonts w:ascii="Times New Roman" w:hAnsi="Times New Roman" w:cs="Times New Roman"/>
          <w:sz w:val="24"/>
          <w:szCs w:val="24"/>
        </w:rPr>
        <w:t>39</w:t>
      </w:r>
      <w:r w:rsidR="0049145E">
        <w:rPr>
          <w:rFonts w:ascii="Times New Roman" w:hAnsi="Times New Roman" w:cs="Times New Roman"/>
          <w:sz w:val="24"/>
          <w:szCs w:val="24"/>
        </w:rPr>
        <w:t xml:space="preserve"> percentage points, </w:t>
      </w:r>
      <w:r w:rsidR="008B209F">
        <w:rPr>
          <w:rFonts w:ascii="Times New Roman" w:hAnsi="Times New Roman" w:cs="Times New Roman"/>
          <w:sz w:val="24"/>
          <w:szCs w:val="24"/>
        </w:rPr>
        <w:t xml:space="preserve">from 11.3 </w:t>
      </w:r>
      <w:r w:rsidR="005714E6">
        <w:rPr>
          <w:rFonts w:ascii="Times New Roman" w:hAnsi="Times New Roman" w:cs="Times New Roman"/>
          <w:sz w:val="24"/>
          <w:szCs w:val="24"/>
        </w:rPr>
        <w:t xml:space="preserve">to </w:t>
      </w:r>
      <w:r w:rsidR="00DF7721">
        <w:rPr>
          <w:rFonts w:ascii="Times New Roman" w:hAnsi="Times New Roman" w:cs="Times New Roman"/>
          <w:sz w:val="24"/>
          <w:szCs w:val="24"/>
        </w:rPr>
        <w:t>8.91</w:t>
      </w:r>
      <w:r w:rsidR="00A73E68">
        <w:rPr>
          <w:rFonts w:ascii="Times New Roman" w:hAnsi="Times New Roman" w:cs="Times New Roman"/>
          <w:sz w:val="24"/>
          <w:szCs w:val="24"/>
        </w:rPr>
        <w:t xml:space="preserve"> </w:t>
      </w:r>
      <w:r w:rsidR="0049145E">
        <w:rPr>
          <w:rFonts w:ascii="Times New Roman" w:hAnsi="Times New Roman" w:cs="Times New Roman"/>
          <w:sz w:val="24"/>
          <w:szCs w:val="24"/>
        </w:rPr>
        <w:t>percent</w:t>
      </w:r>
      <w:r w:rsidR="009D3FD1">
        <w:rPr>
          <w:rFonts w:ascii="Times New Roman" w:hAnsi="Times New Roman" w:cs="Times New Roman"/>
          <w:sz w:val="24"/>
          <w:szCs w:val="24"/>
        </w:rPr>
        <w:t xml:space="preserve"> in the sample using all</w:t>
      </w:r>
      <w:r w:rsidR="00EE6393">
        <w:rPr>
          <w:rFonts w:ascii="Times New Roman" w:hAnsi="Times New Roman" w:cs="Times New Roman"/>
          <w:sz w:val="24"/>
          <w:szCs w:val="24"/>
        </w:rPr>
        <w:t xml:space="preserve"> civilian adults age 25 to 54. </w:t>
      </w:r>
      <w:r w:rsidR="0049145E">
        <w:rPr>
          <w:rFonts w:ascii="Times New Roman" w:hAnsi="Times New Roman" w:cs="Times New Roman"/>
          <w:sz w:val="24"/>
          <w:szCs w:val="24"/>
        </w:rPr>
        <w:t>R</w:t>
      </w:r>
      <w:r w:rsidR="008B209F">
        <w:rPr>
          <w:rFonts w:ascii="Times New Roman" w:hAnsi="Times New Roman" w:cs="Times New Roman"/>
          <w:sz w:val="24"/>
          <w:szCs w:val="24"/>
        </w:rPr>
        <w:t xml:space="preserve">eductions in the </w:t>
      </w:r>
      <w:r w:rsidR="0049145E">
        <w:rPr>
          <w:rFonts w:ascii="Times New Roman" w:hAnsi="Times New Roman" w:cs="Times New Roman"/>
          <w:sz w:val="24"/>
          <w:szCs w:val="24"/>
        </w:rPr>
        <w:t xml:space="preserve">near-poverty or low-income </w:t>
      </w:r>
      <w:r w:rsidR="008B209F">
        <w:rPr>
          <w:rFonts w:ascii="Times New Roman" w:hAnsi="Times New Roman" w:cs="Times New Roman"/>
          <w:sz w:val="24"/>
          <w:szCs w:val="24"/>
        </w:rPr>
        <w:t>rate are larger</w:t>
      </w:r>
      <w:r w:rsidR="0049145E">
        <w:rPr>
          <w:rFonts w:ascii="Times New Roman" w:hAnsi="Times New Roman" w:cs="Times New Roman"/>
          <w:sz w:val="24"/>
          <w:szCs w:val="24"/>
        </w:rPr>
        <w:t xml:space="preserve">, with the first falling from 18.5 to </w:t>
      </w:r>
      <w:r w:rsidR="00C52EDA">
        <w:rPr>
          <w:rFonts w:ascii="Times New Roman" w:hAnsi="Times New Roman" w:cs="Times New Roman"/>
          <w:sz w:val="24"/>
          <w:szCs w:val="24"/>
        </w:rPr>
        <w:t>1</w:t>
      </w:r>
      <w:r w:rsidR="00F931BC">
        <w:rPr>
          <w:rFonts w:ascii="Times New Roman" w:hAnsi="Times New Roman" w:cs="Times New Roman"/>
          <w:sz w:val="24"/>
          <w:szCs w:val="24"/>
        </w:rPr>
        <w:t>4.</w:t>
      </w:r>
      <w:r w:rsidR="008B4FF0">
        <w:rPr>
          <w:rFonts w:ascii="Times New Roman" w:hAnsi="Times New Roman" w:cs="Times New Roman"/>
          <w:sz w:val="24"/>
          <w:szCs w:val="24"/>
        </w:rPr>
        <w:t xml:space="preserve">2 </w:t>
      </w:r>
      <w:r w:rsidR="0049145E">
        <w:rPr>
          <w:rFonts w:ascii="Times New Roman" w:hAnsi="Times New Roman" w:cs="Times New Roman"/>
          <w:sz w:val="24"/>
          <w:szCs w:val="24"/>
        </w:rPr>
        <w:t xml:space="preserve">percent, and the second falling from 26.5 to </w:t>
      </w:r>
      <w:r w:rsidR="00F931BC">
        <w:rPr>
          <w:rFonts w:ascii="Times New Roman" w:hAnsi="Times New Roman" w:cs="Times New Roman"/>
          <w:sz w:val="24"/>
          <w:szCs w:val="24"/>
        </w:rPr>
        <w:t>20.</w:t>
      </w:r>
      <w:r w:rsidR="008B4FF0">
        <w:rPr>
          <w:rFonts w:ascii="Times New Roman" w:hAnsi="Times New Roman" w:cs="Times New Roman"/>
          <w:sz w:val="24"/>
          <w:szCs w:val="24"/>
        </w:rPr>
        <w:t xml:space="preserve">4 </w:t>
      </w:r>
      <w:r w:rsidR="0049145E">
        <w:rPr>
          <w:rFonts w:ascii="Times New Roman" w:hAnsi="Times New Roman" w:cs="Times New Roman"/>
          <w:sz w:val="24"/>
          <w:szCs w:val="24"/>
        </w:rPr>
        <w:t>percent</w:t>
      </w:r>
      <w:r w:rsidR="008B209F">
        <w:rPr>
          <w:rFonts w:ascii="Times New Roman" w:hAnsi="Times New Roman" w:cs="Times New Roman"/>
          <w:sz w:val="24"/>
          <w:szCs w:val="24"/>
        </w:rPr>
        <w:t xml:space="preserve">. </w:t>
      </w:r>
      <w:r w:rsidR="0049145E">
        <w:rPr>
          <w:rFonts w:ascii="Times New Roman" w:hAnsi="Times New Roman" w:cs="Times New Roman"/>
          <w:sz w:val="24"/>
          <w:szCs w:val="24"/>
        </w:rPr>
        <w:t xml:space="preserve">Both of these </w:t>
      </w:r>
      <w:r w:rsidR="0049145E">
        <w:rPr>
          <w:rFonts w:ascii="Times New Roman" w:hAnsi="Times New Roman" w:cs="Times New Roman"/>
          <w:sz w:val="24"/>
          <w:szCs w:val="24"/>
        </w:rPr>
        <w:lastRenderedPageBreak/>
        <w:t>simulated</w:t>
      </w:r>
      <w:r w:rsidR="00D674F8">
        <w:rPr>
          <w:rFonts w:ascii="Times New Roman" w:hAnsi="Times New Roman" w:cs="Times New Roman"/>
          <w:sz w:val="24"/>
          <w:szCs w:val="24"/>
        </w:rPr>
        <w:t xml:space="preserve"> </w:t>
      </w:r>
      <w:r w:rsidR="0049145E">
        <w:rPr>
          <w:rFonts w:ascii="Times New Roman" w:hAnsi="Times New Roman" w:cs="Times New Roman"/>
          <w:sz w:val="24"/>
          <w:szCs w:val="24"/>
        </w:rPr>
        <w:t>rates are lower than their actual levels in 1979</w:t>
      </w:r>
      <w:r w:rsidR="00D674F8">
        <w:rPr>
          <w:rFonts w:ascii="Times New Roman" w:hAnsi="Times New Roman" w:cs="Times New Roman"/>
          <w:sz w:val="24"/>
          <w:szCs w:val="24"/>
        </w:rPr>
        <w:t xml:space="preserve">. </w:t>
      </w:r>
      <w:r w:rsidR="0049145E">
        <w:rPr>
          <w:rFonts w:ascii="Times New Roman" w:hAnsi="Times New Roman" w:cs="Times New Roman"/>
          <w:sz w:val="24"/>
          <w:szCs w:val="24"/>
        </w:rPr>
        <w:t xml:space="preserve">The rate in deep poverty also falls, but only modestly, from 5.6 to 5 percent. This reflects the fact that very few people with a high school degree live in deep poverty (7.1 percent). To decrease rates of deep poverty, an intervention that targets high school dropouts (who have a deep-poverty rate of 12.7 percent) </w:t>
      </w:r>
      <w:r w:rsidR="001C5B33">
        <w:rPr>
          <w:rFonts w:ascii="Times New Roman" w:hAnsi="Times New Roman" w:cs="Times New Roman"/>
          <w:sz w:val="24"/>
          <w:szCs w:val="24"/>
        </w:rPr>
        <w:t xml:space="preserve">would </w:t>
      </w:r>
      <w:r w:rsidR="00A73E68">
        <w:rPr>
          <w:rFonts w:ascii="Times New Roman" w:hAnsi="Times New Roman" w:cs="Times New Roman"/>
          <w:sz w:val="24"/>
          <w:szCs w:val="24"/>
        </w:rPr>
        <w:t xml:space="preserve">likely </w:t>
      </w:r>
      <w:r w:rsidR="001C5B33">
        <w:rPr>
          <w:rFonts w:ascii="Times New Roman" w:hAnsi="Times New Roman" w:cs="Times New Roman"/>
          <w:sz w:val="24"/>
          <w:szCs w:val="24"/>
        </w:rPr>
        <w:t>be more effective</w:t>
      </w:r>
      <w:r w:rsidR="0049145E">
        <w:rPr>
          <w:rFonts w:ascii="Times New Roman" w:hAnsi="Times New Roman" w:cs="Times New Roman"/>
          <w:sz w:val="24"/>
          <w:szCs w:val="24"/>
        </w:rPr>
        <w:t>.</w:t>
      </w:r>
    </w:p>
    <w:p w14:paraId="395827E5" w14:textId="380B44C2" w:rsidR="00063733" w:rsidRPr="00063733" w:rsidRDefault="00D674F8" w:rsidP="00496F5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corresponding estimate</w:t>
      </w:r>
      <w:r w:rsidR="001C5B33">
        <w:rPr>
          <w:rFonts w:ascii="Times New Roman" w:hAnsi="Times New Roman" w:cs="Times New Roman"/>
          <w:sz w:val="24"/>
          <w:szCs w:val="24"/>
        </w:rPr>
        <w:t>s</w:t>
      </w:r>
      <w:r>
        <w:rPr>
          <w:rFonts w:ascii="Times New Roman" w:hAnsi="Times New Roman" w:cs="Times New Roman"/>
          <w:sz w:val="24"/>
          <w:szCs w:val="24"/>
        </w:rPr>
        <w:t xml:space="preserve"> from the causal parameter method </w:t>
      </w:r>
      <w:r w:rsidR="001C5B33">
        <w:rPr>
          <w:rFonts w:ascii="Times New Roman" w:hAnsi="Times New Roman" w:cs="Times New Roman"/>
          <w:sz w:val="24"/>
          <w:szCs w:val="24"/>
        </w:rPr>
        <w:t>imply smaller reductions of roughly half the magnitude of those from the distribution method</w:t>
      </w:r>
      <w:r>
        <w:rPr>
          <w:rFonts w:ascii="Times New Roman" w:hAnsi="Times New Roman" w:cs="Times New Roman"/>
          <w:sz w:val="24"/>
          <w:szCs w:val="24"/>
        </w:rPr>
        <w:t xml:space="preserve">. </w:t>
      </w:r>
      <w:r w:rsidR="001C5B33">
        <w:rPr>
          <w:rFonts w:ascii="Times New Roman" w:hAnsi="Times New Roman" w:cs="Times New Roman"/>
          <w:sz w:val="24"/>
          <w:szCs w:val="24"/>
        </w:rPr>
        <w:t>This, in large part, reflects</w:t>
      </w:r>
      <w:r w:rsidR="0035228B">
        <w:rPr>
          <w:rFonts w:ascii="Times New Roman" w:hAnsi="Times New Roman" w:cs="Times New Roman"/>
          <w:sz w:val="24"/>
          <w:szCs w:val="24"/>
        </w:rPr>
        <w:t xml:space="preserve"> that the former method </w:t>
      </w:r>
      <w:r w:rsidR="002A5BB2" w:rsidRPr="00CA18DC">
        <w:rPr>
          <w:rFonts w:ascii="Times New Roman" w:hAnsi="Times New Roman" w:cs="Times New Roman"/>
          <w:sz w:val="24"/>
          <w:szCs w:val="24"/>
        </w:rPr>
        <w:t>does not allow for changes in the likelihood of employment and only increases earnings for those who have positive earnings</w:t>
      </w:r>
      <w:r w:rsidR="0035228B">
        <w:rPr>
          <w:rFonts w:ascii="Times New Roman" w:hAnsi="Times New Roman" w:cs="Times New Roman"/>
          <w:sz w:val="24"/>
          <w:szCs w:val="24"/>
        </w:rPr>
        <w:t xml:space="preserve">, </w:t>
      </w:r>
      <w:r w:rsidR="002A5BB2">
        <w:rPr>
          <w:rFonts w:ascii="Times New Roman" w:hAnsi="Times New Roman" w:cs="Times New Roman"/>
          <w:sz w:val="24"/>
          <w:szCs w:val="24"/>
        </w:rPr>
        <w:t xml:space="preserve">while the latter method allows for these </w:t>
      </w:r>
      <w:r w:rsidR="0035228B">
        <w:rPr>
          <w:rFonts w:ascii="Times New Roman" w:hAnsi="Times New Roman" w:cs="Times New Roman"/>
          <w:sz w:val="24"/>
          <w:szCs w:val="24"/>
        </w:rPr>
        <w:t>changes</w:t>
      </w:r>
      <w:r w:rsidR="002A5BB2">
        <w:rPr>
          <w:rFonts w:ascii="Times New Roman" w:hAnsi="Times New Roman" w:cs="Times New Roman"/>
          <w:sz w:val="24"/>
          <w:szCs w:val="24"/>
        </w:rPr>
        <w:t>, which are</w:t>
      </w:r>
      <w:r w:rsidR="0035228B">
        <w:rPr>
          <w:rFonts w:ascii="Times New Roman" w:hAnsi="Times New Roman" w:cs="Times New Roman"/>
          <w:sz w:val="24"/>
          <w:szCs w:val="24"/>
        </w:rPr>
        <w:t xml:space="preserve"> particularly likely to affect (near-) poverty measures. </w:t>
      </w:r>
      <w:r w:rsidR="001C5B33">
        <w:rPr>
          <w:rFonts w:ascii="Times New Roman" w:hAnsi="Times New Roman" w:cs="Times New Roman"/>
          <w:sz w:val="24"/>
          <w:szCs w:val="24"/>
        </w:rPr>
        <w:t xml:space="preserve"> </w:t>
      </w:r>
    </w:p>
    <w:p w14:paraId="63C38D93" w14:textId="45A1B9A5" w:rsidR="002A5BB2" w:rsidRDefault="00D674F8" w:rsidP="00E34AE4">
      <w:pPr>
        <w:spacing w:after="0" w:line="480" w:lineRule="auto"/>
        <w:ind w:firstLine="720"/>
        <w:rPr>
          <w:rFonts w:ascii="Times New Roman" w:hAnsi="Times New Roman" w:cs="Times New Roman"/>
          <w:sz w:val="24"/>
          <w:szCs w:val="24"/>
        </w:rPr>
      </w:pPr>
      <w:r w:rsidRPr="00CA18DC">
        <w:rPr>
          <w:rFonts w:ascii="Times New Roman" w:hAnsi="Times New Roman" w:cs="Times New Roman"/>
          <w:sz w:val="24"/>
          <w:szCs w:val="24"/>
        </w:rPr>
        <w:t xml:space="preserve">Appendix Table </w:t>
      </w:r>
      <w:r w:rsidR="004C0F23">
        <w:rPr>
          <w:rFonts w:ascii="Times New Roman" w:hAnsi="Times New Roman" w:cs="Times New Roman"/>
          <w:sz w:val="24"/>
          <w:szCs w:val="24"/>
        </w:rPr>
        <w:t>A.</w:t>
      </w:r>
      <w:r w:rsidR="00F61F8B">
        <w:rPr>
          <w:rFonts w:ascii="Times New Roman" w:hAnsi="Times New Roman" w:cs="Times New Roman"/>
          <w:sz w:val="24"/>
          <w:szCs w:val="24"/>
        </w:rPr>
        <w:t>4</w:t>
      </w:r>
      <w:r w:rsidR="00F61F8B" w:rsidRPr="00CA18DC">
        <w:rPr>
          <w:rFonts w:ascii="Times New Roman" w:hAnsi="Times New Roman" w:cs="Times New Roman"/>
          <w:sz w:val="24"/>
          <w:szCs w:val="24"/>
        </w:rPr>
        <w:t xml:space="preserve"> </w:t>
      </w:r>
      <w:r w:rsidRPr="00CA18DC">
        <w:rPr>
          <w:rFonts w:ascii="Times New Roman" w:hAnsi="Times New Roman" w:cs="Times New Roman"/>
          <w:sz w:val="24"/>
          <w:szCs w:val="24"/>
        </w:rPr>
        <w:t xml:space="preserve">reports the results from calculating poverty rates </w:t>
      </w:r>
      <w:r w:rsidR="00B91F4D">
        <w:rPr>
          <w:rFonts w:ascii="Times New Roman" w:hAnsi="Times New Roman" w:cs="Times New Roman"/>
          <w:sz w:val="24"/>
          <w:szCs w:val="24"/>
        </w:rPr>
        <w:t xml:space="preserve">using </w:t>
      </w:r>
      <w:r w:rsidRPr="00CA18DC">
        <w:rPr>
          <w:rFonts w:ascii="Times New Roman" w:hAnsi="Times New Roman" w:cs="Times New Roman"/>
          <w:sz w:val="24"/>
          <w:szCs w:val="24"/>
        </w:rPr>
        <w:t xml:space="preserve">only observed </w:t>
      </w:r>
      <w:r w:rsidR="00B91F4D">
        <w:rPr>
          <w:rFonts w:ascii="Times New Roman" w:hAnsi="Times New Roman" w:cs="Times New Roman"/>
          <w:sz w:val="24"/>
          <w:szCs w:val="24"/>
        </w:rPr>
        <w:t>family</w:t>
      </w:r>
      <w:r w:rsidRPr="00CA18DC">
        <w:rPr>
          <w:rFonts w:ascii="Times New Roman" w:hAnsi="Times New Roman" w:cs="Times New Roman"/>
          <w:sz w:val="24"/>
          <w:szCs w:val="24"/>
        </w:rPr>
        <w:t xml:space="preserve"> earnings</w:t>
      </w:r>
      <w:r w:rsidR="00B91F4D">
        <w:rPr>
          <w:rFonts w:ascii="Times New Roman" w:hAnsi="Times New Roman" w:cs="Times New Roman"/>
          <w:sz w:val="24"/>
          <w:szCs w:val="24"/>
        </w:rPr>
        <w:t>, ignoring other sources of income</w:t>
      </w:r>
      <w:r w:rsidRPr="00CA18DC">
        <w:rPr>
          <w:rFonts w:ascii="Times New Roman" w:hAnsi="Times New Roman" w:cs="Times New Roman"/>
          <w:sz w:val="24"/>
          <w:szCs w:val="24"/>
        </w:rPr>
        <w:t xml:space="preserve">. These rates do not correspond to official poverty statistics, but they allow us to gauge rates of economic self-sufficiency, as captured by the share of </w:t>
      </w:r>
      <w:r w:rsidR="006E769B">
        <w:rPr>
          <w:rFonts w:ascii="Times New Roman" w:hAnsi="Times New Roman" w:cs="Times New Roman"/>
          <w:sz w:val="24"/>
          <w:szCs w:val="24"/>
        </w:rPr>
        <w:t xml:space="preserve">prime-age adults in </w:t>
      </w:r>
      <w:r w:rsidR="00737AB5">
        <w:rPr>
          <w:rFonts w:ascii="Times New Roman" w:hAnsi="Times New Roman" w:cs="Times New Roman"/>
          <w:sz w:val="24"/>
          <w:szCs w:val="24"/>
        </w:rPr>
        <w:t>families</w:t>
      </w:r>
      <w:r w:rsidR="00737AB5" w:rsidRPr="00CA18DC">
        <w:rPr>
          <w:rFonts w:ascii="Times New Roman" w:hAnsi="Times New Roman" w:cs="Times New Roman"/>
          <w:sz w:val="24"/>
          <w:szCs w:val="24"/>
        </w:rPr>
        <w:t xml:space="preserve"> </w:t>
      </w:r>
      <w:r w:rsidRPr="00CA18DC">
        <w:rPr>
          <w:rFonts w:ascii="Times New Roman" w:hAnsi="Times New Roman" w:cs="Times New Roman"/>
          <w:sz w:val="24"/>
          <w:szCs w:val="24"/>
        </w:rPr>
        <w:t xml:space="preserve">who earn enough money to live above the federal poverty threshold, or multiples thereof. </w:t>
      </w:r>
      <w:r w:rsidR="00CA18DC" w:rsidRPr="00CA18DC">
        <w:rPr>
          <w:rFonts w:ascii="Times New Roman" w:hAnsi="Times New Roman" w:cs="Times New Roman"/>
          <w:sz w:val="24"/>
          <w:szCs w:val="24"/>
        </w:rPr>
        <w:t>In 2018, 19.5</w:t>
      </w:r>
      <w:r w:rsidR="006E769B">
        <w:rPr>
          <w:rFonts w:ascii="Times New Roman" w:hAnsi="Times New Roman" w:cs="Times New Roman"/>
          <w:sz w:val="24"/>
          <w:szCs w:val="24"/>
        </w:rPr>
        <w:t xml:space="preserve"> percent</w:t>
      </w:r>
      <w:r w:rsidR="00CA18DC" w:rsidRPr="00CA18DC">
        <w:rPr>
          <w:rFonts w:ascii="Times New Roman" w:hAnsi="Times New Roman" w:cs="Times New Roman"/>
          <w:sz w:val="24"/>
          <w:szCs w:val="24"/>
        </w:rPr>
        <w:t xml:space="preserve"> of </w:t>
      </w:r>
      <w:r w:rsidR="00EE6393">
        <w:rPr>
          <w:rFonts w:ascii="Times New Roman" w:hAnsi="Times New Roman" w:cs="Times New Roman"/>
          <w:sz w:val="24"/>
          <w:szCs w:val="24"/>
        </w:rPr>
        <w:t xml:space="preserve">individuals lived in </w:t>
      </w:r>
      <w:r w:rsidR="006E769B">
        <w:rPr>
          <w:rFonts w:ascii="Times New Roman" w:hAnsi="Times New Roman" w:cs="Times New Roman"/>
          <w:sz w:val="24"/>
          <w:szCs w:val="24"/>
        </w:rPr>
        <w:t>families</w:t>
      </w:r>
      <w:r w:rsidR="00EE6393">
        <w:rPr>
          <w:rFonts w:ascii="Times New Roman" w:hAnsi="Times New Roman" w:cs="Times New Roman"/>
          <w:sz w:val="24"/>
          <w:szCs w:val="24"/>
        </w:rPr>
        <w:t xml:space="preserve"> with </w:t>
      </w:r>
      <w:r w:rsidR="00CA18DC" w:rsidRPr="00CA18DC">
        <w:rPr>
          <w:rFonts w:ascii="Times New Roman" w:hAnsi="Times New Roman" w:cs="Times New Roman"/>
          <w:sz w:val="24"/>
          <w:szCs w:val="24"/>
        </w:rPr>
        <w:t>earnings less than the federal poverty threshold</w:t>
      </w:r>
      <w:r w:rsidR="000E6891">
        <w:rPr>
          <w:rFonts w:ascii="Times New Roman" w:hAnsi="Times New Roman" w:cs="Times New Roman"/>
          <w:sz w:val="24"/>
          <w:szCs w:val="24"/>
        </w:rPr>
        <w:t>, up from 17.</w:t>
      </w:r>
      <w:r w:rsidR="00F406AC">
        <w:rPr>
          <w:rFonts w:ascii="Times New Roman" w:hAnsi="Times New Roman" w:cs="Times New Roman"/>
          <w:sz w:val="24"/>
          <w:szCs w:val="24"/>
        </w:rPr>
        <w:t xml:space="preserve">2 </w:t>
      </w:r>
      <w:r w:rsidR="000E6891">
        <w:rPr>
          <w:rFonts w:ascii="Times New Roman" w:hAnsi="Times New Roman" w:cs="Times New Roman"/>
          <w:sz w:val="24"/>
          <w:szCs w:val="24"/>
        </w:rPr>
        <w:t xml:space="preserve">percent </w:t>
      </w:r>
      <w:r w:rsidR="00CA18DC" w:rsidRPr="00CA18DC">
        <w:rPr>
          <w:rFonts w:ascii="Times New Roman" w:hAnsi="Times New Roman" w:cs="Times New Roman"/>
          <w:sz w:val="24"/>
          <w:szCs w:val="24"/>
        </w:rPr>
        <w:t xml:space="preserve">in 1979. </w:t>
      </w:r>
      <w:proofErr w:type="gramStart"/>
      <w:r w:rsidR="00CA18DC" w:rsidRPr="00CA18DC">
        <w:rPr>
          <w:rFonts w:ascii="Times New Roman" w:hAnsi="Times New Roman" w:cs="Times New Roman"/>
          <w:sz w:val="24"/>
          <w:szCs w:val="24"/>
        </w:rPr>
        <w:t>Using the distribution method, raising the BA share to 50</w:t>
      </w:r>
      <w:r w:rsidR="002A5BB2">
        <w:rPr>
          <w:rFonts w:ascii="Times New Roman" w:hAnsi="Times New Roman" w:cs="Times New Roman"/>
          <w:sz w:val="24"/>
          <w:szCs w:val="24"/>
        </w:rPr>
        <w:t xml:space="preserve"> percent</w:t>
      </w:r>
      <w:r w:rsidR="00CA18DC" w:rsidRPr="00CA18DC">
        <w:rPr>
          <w:rFonts w:ascii="Times New Roman" w:hAnsi="Times New Roman" w:cs="Times New Roman"/>
          <w:sz w:val="24"/>
          <w:szCs w:val="24"/>
        </w:rPr>
        <w:t xml:space="preserve"> would reduce </w:t>
      </w:r>
      <w:r w:rsidR="002A5BB2">
        <w:rPr>
          <w:rFonts w:ascii="Times New Roman" w:hAnsi="Times New Roman" w:cs="Times New Roman"/>
          <w:sz w:val="24"/>
          <w:szCs w:val="24"/>
        </w:rPr>
        <w:t xml:space="preserve">this poverty measure </w:t>
      </w:r>
      <w:r w:rsidR="00CA18DC" w:rsidRPr="00CA18DC">
        <w:rPr>
          <w:rFonts w:ascii="Times New Roman" w:hAnsi="Times New Roman" w:cs="Times New Roman"/>
          <w:sz w:val="24"/>
          <w:szCs w:val="24"/>
        </w:rPr>
        <w:t xml:space="preserve">to </w:t>
      </w:r>
      <w:r w:rsidR="00DA1C00">
        <w:rPr>
          <w:rFonts w:ascii="Times New Roman" w:hAnsi="Times New Roman" w:cs="Times New Roman"/>
          <w:sz w:val="24"/>
          <w:szCs w:val="24"/>
        </w:rPr>
        <w:t>17.</w:t>
      </w:r>
      <w:r w:rsidR="004F2776">
        <w:rPr>
          <w:rFonts w:ascii="Times New Roman" w:hAnsi="Times New Roman" w:cs="Times New Roman"/>
          <w:sz w:val="24"/>
          <w:szCs w:val="24"/>
        </w:rPr>
        <w:t xml:space="preserve">3 </w:t>
      </w:r>
      <w:r w:rsidR="002A5BB2">
        <w:rPr>
          <w:rFonts w:ascii="Times New Roman" w:hAnsi="Times New Roman" w:cs="Times New Roman"/>
          <w:sz w:val="24"/>
          <w:szCs w:val="24"/>
        </w:rPr>
        <w:t>percent, back to its 1979 level</w:t>
      </w:r>
      <w:r w:rsidR="00CA18DC" w:rsidRPr="00CA18DC">
        <w:rPr>
          <w:rFonts w:ascii="Times New Roman" w:hAnsi="Times New Roman" w:cs="Times New Roman"/>
          <w:sz w:val="24"/>
          <w:szCs w:val="24"/>
        </w:rPr>
        <w:t xml:space="preserve">; </w:t>
      </w:r>
      <w:r w:rsidR="002A5BB2">
        <w:rPr>
          <w:rFonts w:ascii="Times New Roman" w:hAnsi="Times New Roman" w:cs="Times New Roman"/>
          <w:sz w:val="24"/>
          <w:szCs w:val="24"/>
        </w:rPr>
        <w:t xml:space="preserve">additionally </w:t>
      </w:r>
      <w:r w:rsidR="00CA18DC" w:rsidRPr="00CA18DC">
        <w:rPr>
          <w:rFonts w:ascii="Times New Roman" w:hAnsi="Times New Roman" w:cs="Times New Roman"/>
          <w:sz w:val="24"/>
          <w:szCs w:val="24"/>
        </w:rPr>
        <w:t>raising the AA share to 15</w:t>
      </w:r>
      <w:r w:rsidR="002A5BB2">
        <w:rPr>
          <w:rFonts w:ascii="Times New Roman" w:hAnsi="Times New Roman" w:cs="Times New Roman"/>
          <w:sz w:val="24"/>
          <w:szCs w:val="24"/>
        </w:rPr>
        <w:t xml:space="preserve"> percent </w:t>
      </w:r>
      <w:r w:rsidR="00CA18DC" w:rsidRPr="00CA18DC">
        <w:rPr>
          <w:rFonts w:ascii="Times New Roman" w:hAnsi="Times New Roman" w:cs="Times New Roman"/>
          <w:sz w:val="24"/>
          <w:szCs w:val="24"/>
        </w:rPr>
        <w:t>would reduce th</w:t>
      </w:r>
      <w:r w:rsidR="002A5BB2">
        <w:rPr>
          <w:rFonts w:ascii="Times New Roman" w:hAnsi="Times New Roman" w:cs="Times New Roman"/>
          <w:sz w:val="24"/>
          <w:szCs w:val="24"/>
        </w:rPr>
        <w:t>is poverty rate</w:t>
      </w:r>
      <w:r w:rsidR="00CA18DC" w:rsidRPr="00CA18DC">
        <w:rPr>
          <w:rFonts w:ascii="Times New Roman" w:hAnsi="Times New Roman" w:cs="Times New Roman"/>
          <w:sz w:val="24"/>
          <w:szCs w:val="24"/>
        </w:rPr>
        <w:t xml:space="preserve"> to 1</w:t>
      </w:r>
      <w:r w:rsidR="00DA1C00">
        <w:rPr>
          <w:rFonts w:ascii="Times New Roman" w:hAnsi="Times New Roman" w:cs="Times New Roman"/>
          <w:sz w:val="24"/>
          <w:szCs w:val="24"/>
        </w:rPr>
        <w:t>6.</w:t>
      </w:r>
      <w:r w:rsidR="004F2776">
        <w:rPr>
          <w:rFonts w:ascii="Times New Roman" w:hAnsi="Times New Roman" w:cs="Times New Roman"/>
          <w:sz w:val="24"/>
          <w:szCs w:val="24"/>
        </w:rPr>
        <w:t xml:space="preserve">8 </w:t>
      </w:r>
      <w:r w:rsidR="002A5BB2">
        <w:rPr>
          <w:rFonts w:ascii="Times New Roman" w:hAnsi="Times New Roman" w:cs="Times New Roman"/>
          <w:sz w:val="24"/>
          <w:szCs w:val="24"/>
        </w:rPr>
        <w:t xml:space="preserve">percent, </w:t>
      </w:r>
      <w:r w:rsidR="00CA18DC" w:rsidRPr="00CA18DC">
        <w:rPr>
          <w:rFonts w:ascii="Times New Roman" w:hAnsi="Times New Roman" w:cs="Times New Roman"/>
          <w:sz w:val="24"/>
          <w:szCs w:val="24"/>
        </w:rPr>
        <w:t xml:space="preserve">and raising the </w:t>
      </w:r>
      <w:r w:rsidR="002A5BB2">
        <w:rPr>
          <w:rFonts w:ascii="Times New Roman" w:hAnsi="Times New Roman" w:cs="Times New Roman"/>
          <w:sz w:val="24"/>
          <w:szCs w:val="24"/>
        </w:rPr>
        <w:t>B</w:t>
      </w:r>
      <w:r w:rsidR="00CA18DC" w:rsidRPr="00CA18DC">
        <w:rPr>
          <w:rFonts w:ascii="Times New Roman" w:hAnsi="Times New Roman" w:cs="Times New Roman"/>
          <w:sz w:val="24"/>
          <w:szCs w:val="24"/>
        </w:rPr>
        <w:t xml:space="preserve">A share to </w:t>
      </w:r>
      <w:r w:rsidR="002A5BB2">
        <w:rPr>
          <w:rFonts w:ascii="Times New Roman" w:hAnsi="Times New Roman" w:cs="Times New Roman"/>
          <w:sz w:val="24"/>
          <w:szCs w:val="24"/>
        </w:rPr>
        <w:t>6</w:t>
      </w:r>
      <w:r w:rsidR="00CA18DC" w:rsidRPr="00CA18DC">
        <w:rPr>
          <w:rFonts w:ascii="Times New Roman" w:hAnsi="Times New Roman" w:cs="Times New Roman"/>
          <w:sz w:val="24"/>
          <w:szCs w:val="24"/>
        </w:rPr>
        <w:t>0</w:t>
      </w:r>
      <w:r w:rsidR="002A5BB2">
        <w:rPr>
          <w:rFonts w:ascii="Times New Roman" w:hAnsi="Times New Roman" w:cs="Times New Roman"/>
          <w:sz w:val="24"/>
          <w:szCs w:val="24"/>
        </w:rPr>
        <w:t xml:space="preserve"> percent</w:t>
      </w:r>
      <w:r w:rsidR="00CA18DC" w:rsidRPr="00CA18DC">
        <w:rPr>
          <w:rFonts w:ascii="Times New Roman" w:hAnsi="Times New Roman" w:cs="Times New Roman"/>
          <w:sz w:val="24"/>
          <w:szCs w:val="24"/>
        </w:rPr>
        <w:t xml:space="preserve"> and the </w:t>
      </w:r>
      <w:r w:rsidR="002A5BB2">
        <w:rPr>
          <w:rFonts w:ascii="Times New Roman" w:hAnsi="Times New Roman" w:cs="Times New Roman"/>
          <w:sz w:val="24"/>
          <w:szCs w:val="24"/>
        </w:rPr>
        <w:t>A</w:t>
      </w:r>
      <w:r w:rsidR="00CA18DC" w:rsidRPr="00CA18DC">
        <w:rPr>
          <w:rFonts w:ascii="Times New Roman" w:hAnsi="Times New Roman" w:cs="Times New Roman"/>
          <w:sz w:val="24"/>
          <w:szCs w:val="24"/>
        </w:rPr>
        <w:t xml:space="preserve">A share to </w:t>
      </w:r>
      <w:r w:rsidR="002A5BB2">
        <w:rPr>
          <w:rFonts w:ascii="Times New Roman" w:hAnsi="Times New Roman" w:cs="Times New Roman"/>
          <w:sz w:val="24"/>
          <w:szCs w:val="24"/>
        </w:rPr>
        <w:t>2</w:t>
      </w:r>
      <w:r w:rsidR="00CA18DC" w:rsidRPr="00CA18DC">
        <w:rPr>
          <w:rFonts w:ascii="Times New Roman" w:hAnsi="Times New Roman" w:cs="Times New Roman"/>
          <w:sz w:val="24"/>
          <w:szCs w:val="24"/>
        </w:rPr>
        <w:t>0</w:t>
      </w:r>
      <w:r w:rsidR="002A5BB2">
        <w:rPr>
          <w:rFonts w:ascii="Times New Roman" w:hAnsi="Times New Roman" w:cs="Times New Roman"/>
          <w:sz w:val="24"/>
          <w:szCs w:val="24"/>
        </w:rPr>
        <w:t xml:space="preserve"> percent</w:t>
      </w:r>
      <w:r w:rsidR="00CA18DC" w:rsidRPr="00CA18DC">
        <w:rPr>
          <w:rFonts w:ascii="Times New Roman" w:hAnsi="Times New Roman" w:cs="Times New Roman"/>
          <w:sz w:val="24"/>
          <w:szCs w:val="24"/>
        </w:rPr>
        <w:t xml:space="preserve"> would </w:t>
      </w:r>
      <w:r w:rsidR="002A5BB2">
        <w:rPr>
          <w:rFonts w:ascii="Times New Roman" w:hAnsi="Times New Roman" w:cs="Times New Roman"/>
          <w:sz w:val="24"/>
          <w:szCs w:val="24"/>
        </w:rPr>
        <w:t xml:space="preserve">further </w:t>
      </w:r>
      <w:r w:rsidR="00CA18DC" w:rsidRPr="00CA18DC">
        <w:rPr>
          <w:rFonts w:ascii="Times New Roman" w:hAnsi="Times New Roman" w:cs="Times New Roman"/>
          <w:sz w:val="24"/>
          <w:szCs w:val="24"/>
        </w:rPr>
        <w:t xml:space="preserve">reduce the </w:t>
      </w:r>
      <w:r w:rsidR="002A5BB2">
        <w:rPr>
          <w:rFonts w:ascii="Times New Roman" w:hAnsi="Times New Roman" w:cs="Times New Roman"/>
          <w:sz w:val="24"/>
          <w:szCs w:val="24"/>
        </w:rPr>
        <w:t xml:space="preserve">poverty rate </w:t>
      </w:r>
      <w:r w:rsidR="00CA18DC" w:rsidRPr="00CA18DC">
        <w:rPr>
          <w:rFonts w:ascii="Times New Roman" w:hAnsi="Times New Roman" w:cs="Times New Roman"/>
          <w:sz w:val="24"/>
          <w:szCs w:val="24"/>
        </w:rPr>
        <w:t xml:space="preserve">to </w:t>
      </w:r>
      <w:r w:rsidR="00C634D7">
        <w:rPr>
          <w:rFonts w:ascii="Times New Roman" w:hAnsi="Times New Roman" w:cs="Times New Roman"/>
          <w:sz w:val="24"/>
          <w:szCs w:val="24"/>
        </w:rPr>
        <w:t>1</w:t>
      </w:r>
      <w:r w:rsidR="004F2776">
        <w:rPr>
          <w:rFonts w:ascii="Times New Roman" w:hAnsi="Times New Roman" w:cs="Times New Roman"/>
          <w:sz w:val="24"/>
          <w:szCs w:val="24"/>
        </w:rPr>
        <w:t>4.8</w:t>
      </w:r>
      <w:r w:rsidR="002A5BB2">
        <w:rPr>
          <w:rFonts w:ascii="Times New Roman" w:hAnsi="Times New Roman" w:cs="Times New Roman"/>
          <w:sz w:val="24"/>
          <w:szCs w:val="24"/>
        </w:rPr>
        <w:t xml:space="preserve"> percent</w:t>
      </w:r>
      <w:r w:rsidR="00CA18DC" w:rsidRPr="00CA18DC">
        <w:rPr>
          <w:rFonts w:ascii="Times New Roman" w:hAnsi="Times New Roman" w:cs="Times New Roman"/>
          <w:sz w:val="24"/>
          <w:szCs w:val="24"/>
        </w:rPr>
        <w:t>.</w:t>
      </w:r>
      <w:proofErr w:type="gramEnd"/>
      <w:r w:rsidR="00CA18DC" w:rsidRPr="00CA18DC">
        <w:rPr>
          <w:rFonts w:ascii="Times New Roman" w:hAnsi="Times New Roman" w:cs="Times New Roman"/>
          <w:sz w:val="24"/>
          <w:szCs w:val="24"/>
        </w:rPr>
        <w:t xml:space="preserve"> Th</w:t>
      </w:r>
      <w:r w:rsidR="002A5BB2">
        <w:rPr>
          <w:rFonts w:ascii="Times New Roman" w:hAnsi="Times New Roman" w:cs="Times New Roman"/>
          <w:sz w:val="24"/>
          <w:szCs w:val="24"/>
        </w:rPr>
        <w:t>is</w:t>
      </w:r>
      <w:r w:rsidR="00CA18DC" w:rsidRPr="00CA18DC">
        <w:rPr>
          <w:rFonts w:ascii="Times New Roman" w:hAnsi="Times New Roman" w:cs="Times New Roman"/>
          <w:sz w:val="24"/>
          <w:szCs w:val="24"/>
        </w:rPr>
        <w:t xml:space="preserve"> </w:t>
      </w:r>
      <w:r w:rsidR="002A5BB2">
        <w:rPr>
          <w:rFonts w:ascii="Times New Roman" w:hAnsi="Times New Roman" w:cs="Times New Roman"/>
          <w:sz w:val="24"/>
          <w:szCs w:val="24"/>
        </w:rPr>
        <w:t xml:space="preserve">total </w:t>
      </w:r>
      <w:r w:rsidR="00CA18DC" w:rsidRPr="00CA18DC">
        <w:rPr>
          <w:rFonts w:ascii="Times New Roman" w:hAnsi="Times New Roman" w:cs="Times New Roman"/>
          <w:sz w:val="24"/>
          <w:szCs w:val="24"/>
        </w:rPr>
        <w:t>reduction of 4</w:t>
      </w:r>
      <w:r w:rsidR="004F2776">
        <w:rPr>
          <w:rFonts w:ascii="Times New Roman" w:hAnsi="Times New Roman" w:cs="Times New Roman"/>
          <w:sz w:val="24"/>
          <w:szCs w:val="24"/>
        </w:rPr>
        <w:t>.6</w:t>
      </w:r>
      <w:r w:rsidR="001721A4">
        <w:rPr>
          <w:rFonts w:ascii="Times New Roman" w:hAnsi="Times New Roman" w:cs="Times New Roman"/>
          <w:sz w:val="24"/>
          <w:szCs w:val="24"/>
        </w:rPr>
        <w:t>5</w:t>
      </w:r>
      <w:r w:rsidR="00CA18DC" w:rsidRPr="00CA18DC">
        <w:rPr>
          <w:rFonts w:ascii="Times New Roman" w:hAnsi="Times New Roman" w:cs="Times New Roman"/>
          <w:sz w:val="24"/>
          <w:szCs w:val="24"/>
        </w:rPr>
        <w:t xml:space="preserve"> percentage points</w:t>
      </w:r>
      <w:r w:rsidR="002A5BB2">
        <w:rPr>
          <w:rFonts w:ascii="Times New Roman" w:hAnsi="Times New Roman" w:cs="Times New Roman"/>
          <w:sz w:val="24"/>
          <w:szCs w:val="24"/>
        </w:rPr>
        <w:t xml:space="preserve"> would correspond </w:t>
      </w:r>
      <w:r w:rsidR="002A5BB2" w:rsidRPr="00496F53">
        <w:rPr>
          <w:rFonts w:ascii="Times New Roman" w:hAnsi="Times New Roman" w:cs="Times New Roman"/>
          <w:sz w:val="24"/>
          <w:szCs w:val="24"/>
        </w:rPr>
        <w:t xml:space="preserve">to </w:t>
      </w:r>
      <w:r w:rsidR="004F2776">
        <w:rPr>
          <w:rFonts w:ascii="Times New Roman" w:hAnsi="Times New Roman" w:cs="Times New Roman"/>
          <w:sz w:val="24"/>
          <w:szCs w:val="24"/>
        </w:rPr>
        <w:t>6</w:t>
      </w:r>
      <w:r w:rsidR="00145D6C" w:rsidRPr="00496F53">
        <w:rPr>
          <w:rFonts w:ascii="Times New Roman" w:hAnsi="Times New Roman" w:cs="Times New Roman"/>
          <w:sz w:val="24"/>
          <w:szCs w:val="24"/>
        </w:rPr>
        <w:t xml:space="preserve"> </w:t>
      </w:r>
      <w:r w:rsidR="00CA18DC" w:rsidRPr="00496F53">
        <w:rPr>
          <w:rFonts w:ascii="Times New Roman" w:hAnsi="Times New Roman" w:cs="Times New Roman"/>
          <w:sz w:val="24"/>
          <w:szCs w:val="24"/>
        </w:rPr>
        <w:t xml:space="preserve">million fewer </w:t>
      </w:r>
      <w:r w:rsidR="002A5BB2" w:rsidRPr="00496F53">
        <w:rPr>
          <w:rFonts w:ascii="Times New Roman" w:hAnsi="Times New Roman" w:cs="Times New Roman"/>
          <w:sz w:val="24"/>
          <w:szCs w:val="24"/>
        </w:rPr>
        <w:t>prime-age adults</w:t>
      </w:r>
      <w:r w:rsidR="00CA18DC" w:rsidRPr="00496F53">
        <w:rPr>
          <w:rFonts w:ascii="Times New Roman" w:hAnsi="Times New Roman" w:cs="Times New Roman"/>
          <w:sz w:val="24"/>
          <w:szCs w:val="24"/>
        </w:rPr>
        <w:t xml:space="preserve"> in poverty</w:t>
      </w:r>
      <w:r w:rsidR="00496F53">
        <w:rPr>
          <w:rFonts w:ascii="Times New Roman" w:hAnsi="Times New Roman" w:cs="Times New Roman"/>
          <w:sz w:val="24"/>
          <w:szCs w:val="24"/>
        </w:rPr>
        <w:t xml:space="preserve"> (based on 2018 Census population counts)</w:t>
      </w:r>
      <w:r w:rsidR="00CA18DC" w:rsidRPr="00CA18DC">
        <w:rPr>
          <w:rFonts w:ascii="Times New Roman" w:hAnsi="Times New Roman" w:cs="Times New Roman"/>
          <w:sz w:val="24"/>
          <w:szCs w:val="24"/>
        </w:rPr>
        <w:t xml:space="preserve">. </w:t>
      </w:r>
      <w:r w:rsidR="002A5BB2">
        <w:rPr>
          <w:rFonts w:ascii="Times New Roman" w:hAnsi="Times New Roman" w:cs="Times New Roman"/>
          <w:sz w:val="24"/>
          <w:szCs w:val="24"/>
        </w:rPr>
        <w:t>Similar declines would occur for the other poverty thresholds.</w:t>
      </w:r>
    </w:p>
    <w:p w14:paraId="7363E9E4" w14:textId="2E66C284" w:rsidR="00D674F8" w:rsidRDefault="00CA18DC" w:rsidP="00E34AE4">
      <w:pPr>
        <w:spacing w:after="0" w:line="480" w:lineRule="auto"/>
        <w:ind w:firstLine="720"/>
        <w:rPr>
          <w:rFonts w:ascii="Times New Roman" w:hAnsi="Times New Roman" w:cs="Times New Roman"/>
          <w:sz w:val="24"/>
          <w:szCs w:val="24"/>
        </w:rPr>
      </w:pPr>
      <w:r w:rsidRPr="00CA18DC">
        <w:rPr>
          <w:rFonts w:ascii="Times New Roman" w:hAnsi="Times New Roman" w:cs="Times New Roman"/>
          <w:sz w:val="24"/>
          <w:szCs w:val="24"/>
        </w:rPr>
        <w:lastRenderedPageBreak/>
        <w:t xml:space="preserve">The reduction in poverty </w:t>
      </w:r>
      <w:r w:rsidR="002A5BB2">
        <w:rPr>
          <w:rFonts w:ascii="Times New Roman" w:hAnsi="Times New Roman" w:cs="Times New Roman"/>
          <w:sz w:val="24"/>
          <w:szCs w:val="24"/>
        </w:rPr>
        <w:t xml:space="preserve">rates </w:t>
      </w:r>
      <w:r w:rsidRPr="00CA18DC">
        <w:rPr>
          <w:rFonts w:ascii="Times New Roman" w:hAnsi="Times New Roman" w:cs="Times New Roman"/>
          <w:sz w:val="24"/>
          <w:szCs w:val="24"/>
        </w:rPr>
        <w:t>f</w:t>
      </w:r>
      <w:r w:rsidR="002A5BB2">
        <w:rPr>
          <w:rFonts w:ascii="Times New Roman" w:hAnsi="Times New Roman" w:cs="Times New Roman"/>
          <w:sz w:val="24"/>
          <w:szCs w:val="24"/>
        </w:rPr>
        <w:t>rom simulations</w:t>
      </w:r>
      <w:r w:rsidRPr="00CA18DC">
        <w:rPr>
          <w:rFonts w:ascii="Times New Roman" w:hAnsi="Times New Roman" w:cs="Times New Roman"/>
          <w:sz w:val="24"/>
          <w:szCs w:val="24"/>
        </w:rPr>
        <w:t xml:space="preserve"> using the causal parameter method is much smaller</w:t>
      </w:r>
      <w:r w:rsidR="002A5BB2">
        <w:rPr>
          <w:rFonts w:ascii="Times New Roman" w:hAnsi="Times New Roman" w:cs="Times New Roman"/>
          <w:sz w:val="24"/>
          <w:szCs w:val="24"/>
        </w:rPr>
        <w:t>, for the reasons discussed above</w:t>
      </w:r>
      <w:r w:rsidRPr="00CA18DC">
        <w:rPr>
          <w:rFonts w:ascii="Times New Roman" w:hAnsi="Times New Roman" w:cs="Times New Roman"/>
          <w:sz w:val="24"/>
          <w:szCs w:val="24"/>
        </w:rPr>
        <w:t>. The difference in the simulated effects of poverty rates between the two methods highlights how important the effect of increased college attainment on the employment margin is for poverty avoidance and basic economic security.</w:t>
      </w:r>
    </w:p>
    <w:p w14:paraId="567481F3" w14:textId="293A429F" w:rsidR="00B91F95" w:rsidRDefault="000F7C00" w:rsidP="00B91F95">
      <w:pPr>
        <w:spacing w:after="0" w:line="480" w:lineRule="auto"/>
        <w:ind w:firstLine="720"/>
        <w:rPr>
          <w:rFonts w:ascii="Times New Roman" w:hAnsi="Times New Roman" w:cs="Times New Roman"/>
          <w:sz w:val="24"/>
          <w:szCs w:val="24"/>
        </w:rPr>
      </w:pPr>
      <w:r w:rsidRPr="00B91F95">
        <w:rPr>
          <w:rFonts w:ascii="Times New Roman" w:hAnsi="Times New Roman" w:cs="Times New Roman"/>
          <w:sz w:val="24"/>
          <w:szCs w:val="24"/>
        </w:rPr>
        <w:t xml:space="preserve">We further consider what increased college attainment of prime-age individuals could do for child poverty rates. The results </w:t>
      </w:r>
      <w:proofErr w:type="gramStart"/>
      <w:r w:rsidRPr="00B91F95">
        <w:rPr>
          <w:rFonts w:ascii="Times New Roman" w:hAnsi="Times New Roman" w:cs="Times New Roman"/>
          <w:sz w:val="24"/>
          <w:szCs w:val="24"/>
        </w:rPr>
        <w:t>are presented</w:t>
      </w:r>
      <w:proofErr w:type="gramEnd"/>
      <w:r w:rsidRPr="00B91F95">
        <w:rPr>
          <w:rFonts w:ascii="Times New Roman" w:hAnsi="Times New Roman" w:cs="Times New Roman"/>
          <w:sz w:val="24"/>
          <w:szCs w:val="24"/>
        </w:rPr>
        <w:t xml:space="preserve"> in Appendix Table A.5. The share of children in poverty (calculated using our data and the official federal poverty threshold) held steady between 1979 and 2018: 1</w:t>
      </w:r>
      <w:r w:rsidR="00681AE3">
        <w:rPr>
          <w:rFonts w:ascii="Times New Roman" w:hAnsi="Times New Roman" w:cs="Times New Roman"/>
          <w:sz w:val="24"/>
          <w:szCs w:val="24"/>
        </w:rPr>
        <w:t>6</w:t>
      </w:r>
      <w:r w:rsidRPr="00B91F95">
        <w:rPr>
          <w:rFonts w:ascii="Times New Roman" w:hAnsi="Times New Roman" w:cs="Times New Roman"/>
          <w:sz w:val="24"/>
          <w:szCs w:val="24"/>
        </w:rPr>
        <w:t>.</w:t>
      </w:r>
      <w:r w:rsidR="00681AE3">
        <w:rPr>
          <w:rFonts w:ascii="Times New Roman" w:hAnsi="Times New Roman" w:cs="Times New Roman"/>
          <w:sz w:val="24"/>
          <w:szCs w:val="24"/>
        </w:rPr>
        <w:t>79</w:t>
      </w:r>
      <w:r w:rsidRPr="00B91F95">
        <w:rPr>
          <w:rFonts w:ascii="Times New Roman" w:hAnsi="Times New Roman" w:cs="Times New Roman"/>
          <w:sz w:val="24"/>
          <w:szCs w:val="24"/>
        </w:rPr>
        <w:t xml:space="preserve"> percent and 1</w:t>
      </w:r>
      <w:r w:rsidR="00681AE3">
        <w:rPr>
          <w:rFonts w:ascii="Times New Roman" w:hAnsi="Times New Roman" w:cs="Times New Roman"/>
          <w:sz w:val="24"/>
          <w:szCs w:val="24"/>
        </w:rPr>
        <w:t>6.83</w:t>
      </w:r>
      <w:r w:rsidRPr="00B91F95">
        <w:rPr>
          <w:rFonts w:ascii="Times New Roman" w:hAnsi="Times New Roman" w:cs="Times New Roman"/>
          <w:sz w:val="24"/>
          <w:szCs w:val="24"/>
        </w:rPr>
        <w:t xml:space="preserve"> percent. These simulations suggest that the increased household earnings associated with increasing the BA attainment rate to 60 percent and the AA rate to 20 percent would </w:t>
      </w:r>
      <w:r w:rsidR="003E7FD5">
        <w:rPr>
          <w:rFonts w:ascii="Times New Roman" w:hAnsi="Times New Roman" w:cs="Times New Roman"/>
          <w:sz w:val="24"/>
          <w:szCs w:val="24"/>
        </w:rPr>
        <w:t>reduce</w:t>
      </w:r>
      <w:r w:rsidR="003E7FD5" w:rsidRPr="00B91F95">
        <w:rPr>
          <w:rFonts w:ascii="Times New Roman" w:hAnsi="Times New Roman" w:cs="Times New Roman"/>
          <w:sz w:val="24"/>
          <w:szCs w:val="24"/>
        </w:rPr>
        <w:t xml:space="preserve"> </w:t>
      </w:r>
      <w:r w:rsidRPr="00B91F95">
        <w:rPr>
          <w:rFonts w:ascii="Times New Roman" w:hAnsi="Times New Roman" w:cs="Times New Roman"/>
          <w:sz w:val="24"/>
          <w:szCs w:val="24"/>
        </w:rPr>
        <w:t xml:space="preserve">child poverty rates to </w:t>
      </w:r>
      <w:r w:rsidR="004F2776">
        <w:rPr>
          <w:rFonts w:ascii="Times New Roman" w:hAnsi="Times New Roman" w:cs="Times New Roman"/>
          <w:sz w:val="24"/>
          <w:szCs w:val="24"/>
        </w:rPr>
        <w:t>1</w:t>
      </w:r>
      <w:r w:rsidR="00681AE3">
        <w:rPr>
          <w:rFonts w:ascii="Times New Roman" w:hAnsi="Times New Roman" w:cs="Times New Roman"/>
          <w:sz w:val="24"/>
          <w:szCs w:val="24"/>
        </w:rPr>
        <w:t>3</w:t>
      </w:r>
      <w:r w:rsidR="004F2776">
        <w:rPr>
          <w:rFonts w:ascii="Times New Roman" w:hAnsi="Times New Roman" w:cs="Times New Roman"/>
          <w:sz w:val="24"/>
          <w:szCs w:val="24"/>
        </w:rPr>
        <w:t>.</w:t>
      </w:r>
      <w:r w:rsidR="00681AE3">
        <w:rPr>
          <w:rFonts w:ascii="Times New Roman" w:hAnsi="Times New Roman" w:cs="Times New Roman"/>
          <w:sz w:val="24"/>
          <w:szCs w:val="24"/>
        </w:rPr>
        <w:t>4</w:t>
      </w:r>
      <w:r w:rsidR="0077793F">
        <w:rPr>
          <w:rFonts w:ascii="Times New Roman" w:hAnsi="Times New Roman" w:cs="Times New Roman"/>
          <w:sz w:val="24"/>
          <w:szCs w:val="24"/>
        </w:rPr>
        <w:t>7</w:t>
      </w:r>
      <w:r w:rsidRPr="00B91F95">
        <w:rPr>
          <w:rFonts w:ascii="Times New Roman" w:hAnsi="Times New Roman" w:cs="Times New Roman"/>
          <w:sz w:val="24"/>
          <w:szCs w:val="24"/>
        </w:rPr>
        <w:t xml:space="preserve"> percent (distribution method) or 1</w:t>
      </w:r>
      <w:r w:rsidR="00681AE3">
        <w:rPr>
          <w:rFonts w:ascii="Times New Roman" w:hAnsi="Times New Roman" w:cs="Times New Roman"/>
          <w:sz w:val="24"/>
          <w:szCs w:val="24"/>
        </w:rPr>
        <w:t>4.8</w:t>
      </w:r>
      <w:r w:rsidR="0077793F">
        <w:rPr>
          <w:rFonts w:ascii="Times New Roman" w:hAnsi="Times New Roman" w:cs="Times New Roman"/>
          <w:sz w:val="24"/>
          <w:szCs w:val="24"/>
        </w:rPr>
        <w:t>4</w:t>
      </w:r>
      <w:r w:rsidRPr="00B91F95">
        <w:rPr>
          <w:rFonts w:ascii="Times New Roman" w:hAnsi="Times New Roman" w:cs="Times New Roman"/>
          <w:sz w:val="24"/>
          <w:szCs w:val="24"/>
        </w:rPr>
        <w:t xml:space="preserve"> percent (causal parameter method.) There would be an even larger percentage point reduction in the share of children living in households with income less than 200</w:t>
      </w:r>
      <w:r w:rsidR="003E7FD5">
        <w:rPr>
          <w:rFonts w:ascii="Times New Roman" w:hAnsi="Times New Roman" w:cs="Times New Roman"/>
          <w:sz w:val="24"/>
          <w:szCs w:val="24"/>
        </w:rPr>
        <w:t xml:space="preserve"> percent</w:t>
      </w:r>
      <w:r w:rsidRPr="00B91F95">
        <w:rPr>
          <w:rFonts w:ascii="Times New Roman" w:hAnsi="Times New Roman" w:cs="Times New Roman"/>
          <w:sz w:val="24"/>
          <w:szCs w:val="24"/>
        </w:rPr>
        <w:t xml:space="preserve"> of the poverty rate. Increased economic security among children </w:t>
      </w:r>
      <w:proofErr w:type="gramStart"/>
      <w:r w:rsidRPr="00B91F95">
        <w:rPr>
          <w:rFonts w:ascii="Times New Roman" w:hAnsi="Times New Roman" w:cs="Times New Roman"/>
          <w:sz w:val="24"/>
          <w:szCs w:val="24"/>
        </w:rPr>
        <w:t>should be considered</w:t>
      </w:r>
      <w:proofErr w:type="gramEnd"/>
      <w:r w:rsidRPr="00B91F95">
        <w:rPr>
          <w:rFonts w:ascii="Times New Roman" w:hAnsi="Times New Roman" w:cs="Times New Roman"/>
          <w:sz w:val="24"/>
          <w:szCs w:val="24"/>
        </w:rPr>
        <w:t xml:space="preserve"> a key benefit that would result from more educated prime-age adults, many of whom are parents to young children. </w:t>
      </w:r>
    </w:p>
    <w:p w14:paraId="54D5470A" w14:textId="77777777" w:rsidR="003E7FD5" w:rsidRDefault="003E7FD5" w:rsidP="00B91F95">
      <w:pPr>
        <w:spacing w:after="0" w:line="480" w:lineRule="auto"/>
        <w:ind w:firstLine="720"/>
        <w:rPr>
          <w:rFonts w:ascii="Times New Roman" w:hAnsi="Times New Roman" w:cs="Times New Roman"/>
          <w:b/>
          <w:i/>
          <w:sz w:val="24"/>
          <w:szCs w:val="24"/>
        </w:rPr>
      </w:pPr>
    </w:p>
    <w:p w14:paraId="282DBCE4" w14:textId="2EA51BDB" w:rsidR="007678B6" w:rsidRPr="00B91F95" w:rsidRDefault="00B91F95" w:rsidP="00540511">
      <w:pPr>
        <w:spacing w:after="0" w:line="480" w:lineRule="auto"/>
        <w:ind w:left="720" w:hanging="720"/>
        <w:rPr>
          <w:rFonts w:ascii="Times New Roman" w:hAnsi="Times New Roman" w:cs="Times New Roman"/>
          <w:b/>
          <w:i/>
          <w:sz w:val="24"/>
          <w:szCs w:val="24"/>
        </w:rPr>
      </w:pPr>
      <w:r w:rsidRPr="00B91F95">
        <w:rPr>
          <w:rFonts w:ascii="Times New Roman" w:hAnsi="Times New Roman" w:cs="Times New Roman"/>
          <w:b/>
          <w:i/>
          <w:sz w:val="24"/>
          <w:szCs w:val="24"/>
        </w:rPr>
        <w:t xml:space="preserve">IV. </w:t>
      </w:r>
      <w:r w:rsidR="003E7FD5">
        <w:rPr>
          <w:rFonts w:ascii="Times New Roman" w:hAnsi="Times New Roman" w:cs="Times New Roman"/>
          <w:b/>
          <w:i/>
          <w:sz w:val="24"/>
          <w:szCs w:val="24"/>
        </w:rPr>
        <w:tab/>
      </w:r>
      <w:r w:rsidR="00A20AA8" w:rsidRPr="00B91F95">
        <w:rPr>
          <w:rFonts w:ascii="Times New Roman" w:hAnsi="Times New Roman" w:cs="Times New Roman"/>
          <w:b/>
          <w:i/>
          <w:sz w:val="24"/>
          <w:szCs w:val="24"/>
        </w:rPr>
        <w:t>CONCLUSION</w:t>
      </w:r>
    </w:p>
    <w:p w14:paraId="143836EE" w14:textId="66F5BDDF" w:rsidR="00913481" w:rsidRDefault="00913481" w:rsidP="00496F53">
      <w:pPr>
        <w:spacing w:after="0" w:line="480" w:lineRule="auto"/>
        <w:ind w:firstLine="720"/>
        <w:rPr>
          <w:rFonts w:ascii="Times New Roman" w:hAnsi="Times New Roman" w:cs="Times New Roman"/>
          <w:sz w:val="24"/>
          <w:szCs w:val="24"/>
        </w:rPr>
      </w:pPr>
      <w:r w:rsidRPr="00B43067">
        <w:rPr>
          <w:rFonts w:ascii="Times New Roman" w:hAnsi="Times New Roman" w:cs="Times New Roman"/>
          <w:sz w:val="24"/>
          <w:szCs w:val="24"/>
        </w:rPr>
        <w:t xml:space="preserve">In this </w:t>
      </w:r>
      <w:r>
        <w:rPr>
          <w:rFonts w:ascii="Times New Roman" w:hAnsi="Times New Roman" w:cs="Times New Roman"/>
          <w:sz w:val="24"/>
          <w:szCs w:val="24"/>
        </w:rPr>
        <w:t>analysis we have simulated the effects of increasing college attainment</w:t>
      </w:r>
      <w:r w:rsidR="00B91F95">
        <w:rPr>
          <w:rFonts w:ascii="Times New Roman" w:hAnsi="Times New Roman" w:cs="Times New Roman"/>
          <w:sz w:val="24"/>
          <w:szCs w:val="24"/>
        </w:rPr>
        <w:t xml:space="preserve">, both </w:t>
      </w:r>
      <w:proofErr w:type="gramStart"/>
      <w:r w:rsidR="00B91F95">
        <w:rPr>
          <w:rFonts w:ascii="Times New Roman" w:hAnsi="Times New Roman" w:cs="Times New Roman"/>
          <w:sz w:val="24"/>
          <w:szCs w:val="24"/>
        </w:rPr>
        <w:t>bachelor</w:t>
      </w:r>
      <w:r w:rsidR="003E7FD5">
        <w:rPr>
          <w:rFonts w:ascii="Times New Roman" w:hAnsi="Times New Roman" w:cs="Times New Roman"/>
          <w:sz w:val="24"/>
          <w:szCs w:val="24"/>
        </w:rPr>
        <w:t>’s</w:t>
      </w:r>
      <w:proofErr w:type="gramEnd"/>
      <w:r w:rsidR="000E3515">
        <w:rPr>
          <w:rFonts w:ascii="Times New Roman" w:hAnsi="Times New Roman" w:cs="Times New Roman"/>
          <w:sz w:val="24"/>
          <w:szCs w:val="24"/>
        </w:rPr>
        <w:t xml:space="preserve"> and associate degrees,</w:t>
      </w:r>
      <w:r>
        <w:rPr>
          <w:rFonts w:ascii="Times New Roman" w:hAnsi="Times New Roman" w:cs="Times New Roman"/>
          <w:sz w:val="24"/>
          <w:szCs w:val="24"/>
        </w:rPr>
        <w:t xml:space="preserve"> </w:t>
      </w:r>
      <w:r w:rsidR="00E34AE4">
        <w:rPr>
          <w:rFonts w:ascii="Times New Roman" w:hAnsi="Times New Roman" w:cs="Times New Roman"/>
          <w:sz w:val="24"/>
          <w:szCs w:val="24"/>
        </w:rPr>
        <w:t xml:space="preserve">of men and women age 25 to </w:t>
      </w:r>
      <w:r w:rsidR="00B56750">
        <w:rPr>
          <w:rFonts w:ascii="Times New Roman" w:hAnsi="Times New Roman" w:cs="Times New Roman"/>
          <w:sz w:val="24"/>
          <w:szCs w:val="24"/>
        </w:rPr>
        <w:t xml:space="preserve">54 </w:t>
      </w:r>
      <w:r w:rsidR="00E34AE4">
        <w:rPr>
          <w:rFonts w:ascii="Times New Roman" w:hAnsi="Times New Roman" w:cs="Times New Roman"/>
          <w:sz w:val="24"/>
          <w:szCs w:val="24"/>
        </w:rPr>
        <w:t>to gauge</w:t>
      </w:r>
      <w:r>
        <w:rPr>
          <w:rFonts w:ascii="Times New Roman" w:hAnsi="Times New Roman" w:cs="Times New Roman"/>
          <w:sz w:val="24"/>
          <w:szCs w:val="24"/>
        </w:rPr>
        <w:t xml:space="preserve"> the likely effects on earnings and earnings inequality</w:t>
      </w:r>
      <w:r w:rsidR="00E34AE4">
        <w:rPr>
          <w:rFonts w:ascii="Times New Roman" w:hAnsi="Times New Roman" w:cs="Times New Roman"/>
          <w:sz w:val="24"/>
          <w:szCs w:val="24"/>
        </w:rPr>
        <w:t xml:space="preserve">. We have conducted the simulation using two distinct approaches. The distribution method assigns individuals whose college status is randomly shifted a draw from the earnings distribution of college-educated workers. The causal parameter method assigns workers whose college status is randomly shifted a single earnings premium, based on </w:t>
      </w:r>
      <w:r w:rsidR="00B91F95">
        <w:rPr>
          <w:rFonts w:ascii="Times New Roman" w:hAnsi="Times New Roman" w:cs="Times New Roman"/>
          <w:sz w:val="24"/>
          <w:szCs w:val="24"/>
        </w:rPr>
        <w:lastRenderedPageBreak/>
        <w:t>existing studies</w:t>
      </w:r>
      <w:r w:rsidR="00E34AE4">
        <w:rPr>
          <w:rFonts w:ascii="Times New Roman" w:hAnsi="Times New Roman" w:cs="Times New Roman"/>
          <w:sz w:val="24"/>
          <w:szCs w:val="24"/>
        </w:rPr>
        <w:t xml:space="preserve"> in the literature. Both approaches </w:t>
      </w:r>
      <w:r w:rsidR="00B91F95">
        <w:rPr>
          <w:rFonts w:ascii="Times New Roman" w:hAnsi="Times New Roman" w:cs="Times New Roman"/>
          <w:sz w:val="24"/>
          <w:szCs w:val="24"/>
        </w:rPr>
        <w:t>suggest</w:t>
      </w:r>
      <w:r w:rsidR="00E34AE4">
        <w:rPr>
          <w:rFonts w:ascii="Times New Roman" w:hAnsi="Times New Roman" w:cs="Times New Roman"/>
          <w:sz w:val="24"/>
          <w:szCs w:val="24"/>
        </w:rPr>
        <w:t xml:space="preserve"> that increasing</w:t>
      </w:r>
      <w:r w:rsidRPr="00E94FD3">
        <w:rPr>
          <w:rFonts w:ascii="Times New Roman" w:hAnsi="Times New Roman" w:cs="Times New Roman"/>
          <w:sz w:val="24"/>
          <w:szCs w:val="24"/>
        </w:rPr>
        <w:t xml:space="preserve"> the educational attainment of </w:t>
      </w:r>
      <w:r w:rsidR="00E94FD3" w:rsidRPr="00E94FD3">
        <w:rPr>
          <w:rFonts w:ascii="Times New Roman" w:hAnsi="Times New Roman" w:cs="Times New Roman"/>
          <w:sz w:val="24"/>
          <w:szCs w:val="24"/>
        </w:rPr>
        <w:t xml:space="preserve">adults </w:t>
      </w:r>
      <w:r w:rsidRPr="00E94FD3">
        <w:rPr>
          <w:rFonts w:ascii="Times New Roman" w:hAnsi="Times New Roman" w:cs="Times New Roman"/>
          <w:sz w:val="24"/>
          <w:szCs w:val="24"/>
        </w:rPr>
        <w:t xml:space="preserve">without a college degree </w:t>
      </w:r>
      <w:r w:rsidRPr="00B91F95">
        <w:rPr>
          <w:rFonts w:ascii="Times New Roman" w:hAnsi="Times New Roman" w:cs="Times New Roman"/>
          <w:sz w:val="24"/>
          <w:szCs w:val="24"/>
        </w:rPr>
        <w:t>will</w:t>
      </w:r>
      <w:r w:rsidRPr="00E94FD3">
        <w:rPr>
          <w:rFonts w:ascii="Times New Roman" w:hAnsi="Times New Roman" w:cs="Times New Roman"/>
          <w:sz w:val="24"/>
          <w:szCs w:val="24"/>
        </w:rPr>
        <w:t xml:space="preserve"> increase their average earnings</w:t>
      </w:r>
      <w:r w:rsidR="000E3515">
        <w:rPr>
          <w:rFonts w:ascii="Times New Roman" w:hAnsi="Times New Roman" w:cs="Times New Roman"/>
          <w:sz w:val="24"/>
          <w:szCs w:val="24"/>
        </w:rPr>
        <w:t>, with gains concentrated in the lower half of the earnings distribution</w:t>
      </w:r>
      <w:r w:rsidR="00E34AE4">
        <w:rPr>
          <w:rFonts w:ascii="Times New Roman" w:hAnsi="Times New Roman" w:cs="Times New Roman"/>
          <w:sz w:val="24"/>
          <w:szCs w:val="24"/>
        </w:rPr>
        <w:t>. T</w:t>
      </w:r>
      <w:r w:rsidR="00B91F95">
        <w:rPr>
          <w:rFonts w:ascii="Times New Roman" w:hAnsi="Times New Roman" w:cs="Times New Roman"/>
          <w:sz w:val="24"/>
          <w:szCs w:val="24"/>
        </w:rPr>
        <w:t xml:space="preserve">he distribution method further allows for an increase in the likelihood of work, which is particularly </w:t>
      </w:r>
      <w:r w:rsidR="00786534">
        <w:rPr>
          <w:rFonts w:ascii="Times New Roman" w:hAnsi="Times New Roman" w:cs="Times New Roman"/>
          <w:sz w:val="24"/>
          <w:szCs w:val="24"/>
        </w:rPr>
        <w:t>important for raising</w:t>
      </w:r>
      <w:r w:rsidR="00B91F95">
        <w:rPr>
          <w:rFonts w:ascii="Times New Roman" w:hAnsi="Times New Roman" w:cs="Times New Roman"/>
          <w:sz w:val="24"/>
          <w:szCs w:val="24"/>
        </w:rPr>
        <w:t xml:space="preserve"> earnings at the bottom of the distribution. The results of the simulation also show meaningful </w:t>
      </w:r>
      <w:r w:rsidR="00E34AE4">
        <w:rPr>
          <w:rFonts w:ascii="Times New Roman" w:hAnsi="Times New Roman" w:cs="Times New Roman"/>
          <w:sz w:val="24"/>
          <w:szCs w:val="24"/>
        </w:rPr>
        <w:t>reduction</w:t>
      </w:r>
      <w:r w:rsidR="00B91F95">
        <w:rPr>
          <w:rFonts w:ascii="Times New Roman" w:hAnsi="Times New Roman" w:cs="Times New Roman"/>
          <w:sz w:val="24"/>
          <w:szCs w:val="24"/>
        </w:rPr>
        <w:t>s</w:t>
      </w:r>
      <w:r w:rsidR="00E34AE4">
        <w:rPr>
          <w:rFonts w:ascii="Times New Roman" w:hAnsi="Times New Roman" w:cs="Times New Roman"/>
          <w:sz w:val="24"/>
          <w:szCs w:val="24"/>
        </w:rPr>
        <w:t xml:space="preserve"> in </w:t>
      </w:r>
      <w:r w:rsidR="000E3515">
        <w:rPr>
          <w:rFonts w:ascii="Times New Roman" w:hAnsi="Times New Roman" w:cs="Times New Roman"/>
          <w:sz w:val="24"/>
          <w:szCs w:val="24"/>
        </w:rPr>
        <w:t xml:space="preserve">rates of </w:t>
      </w:r>
      <w:r w:rsidR="00E34AE4">
        <w:rPr>
          <w:rFonts w:ascii="Times New Roman" w:hAnsi="Times New Roman" w:cs="Times New Roman"/>
          <w:sz w:val="24"/>
          <w:szCs w:val="24"/>
        </w:rPr>
        <w:t xml:space="preserve">poverty </w:t>
      </w:r>
      <w:r w:rsidR="000E3515">
        <w:rPr>
          <w:rFonts w:ascii="Times New Roman" w:hAnsi="Times New Roman" w:cs="Times New Roman"/>
          <w:sz w:val="24"/>
          <w:szCs w:val="24"/>
        </w:rPr>
        <w:t>and near-poverty (</w:t>
      </w:r>
      <w:r w:rsidR="00E34AE4">
        <w:rPr>
          <w:rFonts w:ascii="Times New Roman" w:hAnsi="Times New Roman" w:cs="Times New Roman"/>
          <w:sz w:val="24"/>
          <w:szCs w:val="24"/>
        </w:rPr>
        <w:t>family income less than 200</w:t>
      </w:r>
      <w:r w:rsidR="000E3515">
        <w:rPr>
          <w:rFonts w:ascii="Times New Roman" w:hAnsi="Times New Roman" w:cs="Times New Roman"/>
          <w:sz w:val="24"/>
          <w:szCs w:val="24"/>
        </w:rPr>
        <w:t xml:space="preserve"> percent</w:t>
      </w:r>
      <w:r w:rsidR="00E34AE4">
        <w:rPr>
          <w:rFonts w:ascii="Times New Roman" w:hAnsi="Times New Roman" w:cs="Times New Roman"/>
          <w:sz w:val="24"/>
          <w:szCs w:val="24"/>
        </w:rPr>
        <w:t xml:space="preserve"> of the federal poverty threshold). </w:t>
      </w:r>
      <w:r w:rsidRPr="00B43067">
        <w:rPr>
          <w:rFonts w:ascii="Times New Roman" w:hAnsi="Times New Roman" w:cs="Times New Roman"/>
          <w:sz w:val="24"/>
          <w:szCs w:val="24"/>
        </w:rPr>
        <w:t>Increasing</w:t>
      </w:r>
      <w:r w:rsidR="00E34AE4">
        <w:rPr>
          <w:rFonts w:ascii="Times New Roman" w:hAnsi="Times New Roman" w:cs="Times New Roman"/>
          <w:sz w:val="24"/>
          <w:szCs w:val="24"/>
        </w:rPr>
        <w:t xml:space="preserve"> rates of college degree attainment will </w:t>
      </w:r>
      <w:r w:rsidR="000E3515">
        <w:rPr>
          <w:rFonts w:ascii="Times New Roman" w:hAnsi="Times New Roman" w:cs="Times New Roman"/>
          <w:sz w:val="24"/>
          <w:szCs w:val="24"/>
        </w:rPr>
        <w:t>also</w:t>
      </w:r>
      <w:r w:rsidR="00786534">
        <w:rPr>
          <w:rFonts w:ascii="Times New Roman" w:hAnsi="Times New Roman" w:cs="Times New Roman"/>
          <w:sz w:val="24"/>
          <w:szCs w:val="24"/>
        </w:rPr>
        <w:t xml:space="preserve"> moderately</w:t>
      </w:r>
      <w:r w:rsidR="000E3515">
        <w:rPr>
          <w:rFonts w:ascii="Times New Roman" w:hAnsi="Times New Roman" w:cs="Times New Roman"/>
          <w:sz w:val="24"/>
          <w:szCs w:val="24"/>
        </w:rPr>
        <w:t xml:space="preserve"> </w:t>
      </w:r>
      <w:r w:rsidR="00E34AE4">
        <w:rPr>
          <w:rFonts w:ascii="Times New Roman" w:hAnsi="Times New Roman" w:cs="Times New Roman"/>
          <w:sz w:val="24"/>
          <w:szCs w:val="24"/>
        </w:rPr>
        <w:t>reduce inequality</w:t>
      </w:r>
      <w:r w:rsidR="000E3515">
        <w:rPr>
          <w:rFonts w:ascii="Times New Roman" w:hAnsi="Times New Roman" w:cs="Times New Roman"/>
          <w:sz w:val="24"/>
          <w:szCs w:val="24"/>
        </w:rPr>
        <w:t xml:space="preserve">, mostly by raising the lower-middle </w:t>
      </w:r>
      <w:r w:rsidR="00786534">
        <w:rPr>
          <w:rFonts w:ascii="Times New Roman" w:hAnsi="Times New Roman" w:cs="Times New Roman"/>
          <w:sz w:val="24"/>
          <w:szCs w:val="24"/>
        </w:rPr>
        <w:t xml:space="preserve">part of the earnings distribution </w:t>
      </w:r>
      <w:r w:rsidR="000E3515">
        <w:rPr>
          <w:rFonts w:ascii="Times New Roman" w:hAnsi="Times New Roman" w:cs="Times New Roman"/>
          <w:sz w:val="24"/>
          <w:szCs w:val="24"/>
        </w:rPr>
        <w:t xml:space="preserve">relative to the upper-middle. However, increased college attainment will have minimal effects on reducing overall inequality back to the levels in 1979, </w:t>
      </w:r>
      <w:r w:rsidR="00FF6FAD">
        <w:rPr>
          <w:rFonts w:ascii="Times New Roman" w:hAnsi="Times New Roman" w:cs="Times New Roman"/>
          <w:sz w:val="24"/>
          <w:szCs w:val="24"/>
        </w:rPr>
        <w:t>as a greater share of the population with college degrees will not meaningfully affect earnings at the highest parts of the distribution, where much of the rise in inequality has taken place</w:t>
      </w:r>
      <w:r w:rsidR="00E34AE4">
        <w:rPr>
          <w:rFonts w:ascii="Times New Roman" w:hAnsi="Times New Roman" w:cs="Times New Roman"/>
          <w:sz w:val="24"/>
          <w:szCs w:val="24"/>
        </w:rPr>
        <w:t>.</w:t>
      </w:r>
    </w:p>
    <w:p w14:paraId="219B942D" w14:textId="1D8AEF46" w:rsidR="000A626B" w:rsidRDefault="00165DC5" w:rsidP="00165DC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paper we have provided a quantitative</w:t>
      </w:r>
      <w:r w:rsidR="008A6240">
        <w:rPr>
          <w:rFonts w:ascii="Times New Roman" w:hAnsi="Times New Roman" w:cs="Times New Roman"/>
          <w:sz w:val="24"/>
          <w:szCs w:val="24"/>
        </w:rPr>
        <w:t xml:space="preserve"> approximation to what could be achieved in terms of reduced income inequality and increased individual economic security through a meaningful, albeit feasible, increase in the share of prime-age adults with a college degree. </w:t>
      </w:r>
      <w:r>
        <w:rPr>
          <w:rFonts w:ascii="Times New Roman" w:hAnsi="Times New Roman" w:cs="Times New Roman"/>
          <w:sz w:val="24"/>
          <w:szCs w:val="24"/>
        </w:rPr>
        <w:t xml:space="preserve">We have not attempted </w:t>
      </w:r>
      <w:r w:rsidR="008A6240">
        <w:rPr>
          <w:rFonts w:ascii="Times New Roman" w:hAnsi="Times New Roman" w:cs="Times New Roman"/>
          <w:sz w:val="24"/>
          <w:szCs w:val="24"/>
        </w:rPr>
        <w:t xml:space="preserve">to argue for or against any particular way of achieving that result, though </w:t>
      </w:r>
      <w:proofErr w:type="gramStart"/>
      <w:r w:rsidR="008A6240">
        <w:rPr>
          <w:rFonts w:ascii="Times New Roman" w:hAnsi="Times New Roman" w:cs="Times New Roman"/>
          <w:sz w:val="24"/>
          <w:szCs w:val="24"/>
        </w:rPr>
        <w:t>obviously</w:t>
      </w:r>
      <w:proofErr w:type="gramEnd"/>
      <w:r w:rsidR="008A6240">
        <w:rPr>
          <w:rFonts w:ascii="Times New Roman" w:hAnsi="Times New Roman" w:cs="Times New Roman"/>
          <w:sz w:val="24"/>
          <w:szCs w:val="24"/>
        </w:rPr>
        <w:t xml:space="preserve"> the question of </w:t>
      </w:r>
      <w:r w:rsidR="008A6240" w:rsidRPr="008A6240">
        <w:rPr>
          <w:rFonts w:ascii="Times New Roman" w:hAnsi="Times New Roman" w:cs="Times New Roman"/>
          <w:i/>
          <w:sz w:val="24"/>
          <w:szCs w:val="24"/>
        </w:rPr>
        <w:t>how</w:t>
      </w:r>
      <w:r w:rsidR="008A6240">
        <w:rPr>
          <w:rFonts w:ascii="Times New Roman" w:hAnsi="Times New Roman" w:cs="Times New Roman"/>
          <w:sz w:val="24"/>
          <w:szCs w:val="24"/>
        </w:rPr>
        <w:t xml:space="preserve"> to achieve increased college attainment is of</w:t>
      </w:r>
      <w:r>
        <w:rPr>
          <w:rFonts w:ascii="Times New Roman" w:hAnsi="Times New Roman" w:cs="Times New Roman"/>
          <w:sz w:val="24"/>
          <w:szCs w:val="24"/>
        </w:rPr>
        <w:t xml:space="preserve"> the utmost importance. Nor have we made the claim</w:t>
      </w:r>
      <w:r w:rsidR="008A6240">
        <w:rPr>
          <w:rFonts w:ascii="Times New Roman" w:hAnsi="Times New Roman" w:cs="Times New Roman"/>
          <w:sz w:val="24"/>
          <w:szCs w:val="24"/>
        </w:rPr>
        <w:t xml:space="preserve"> that increasing college attainment is </w:t>
      </w:r>
      <w:r w:rsidR="008A6240" w:rsidRPr="00165DC5">
        <w:rPr>
          <w:rFonts w:ascii="Times New Roman" w:hAnsi="Times New Roman" w:cs="Times New Roman"/>
          <w:i/>
          <w:sz w:val="24"/>
          <w:szCs w:val="24"/>
        </w:rPr>
        <w:t>sufficient</w:t>
      </w:r>
      <w:r w:rsidR="008A6240">
        <w:rPr>
          <w:rFonts w:ascii="Times New Roman" w:hAnsi="Times New Roman" w:cs="Times New Roman"/>
          <w:sz w:val="24"/>
          <w:szCs w:val="24"/>
        </w:rPr>
        <w:t xml:space="preserve"> to address the current degree of income inequality or income insecurity.</w:t>
      </w:r>
      <w:r>
        <w:rPr>
          <w:rFonts w:ascii="Times New Roman" w:hAnsi="Times New Roman" w:cs="Times New Roman"/>
          <w:sz w:val="24"/>
          <w:szCs w:val="24"/>
        </w:rPr>
        <w:t xml:space="preserve"> We view the results of this analysis as suggesting that </w:t>
      </w:r>
      <w:r w:rsidR="00DA59F0">
        <w:rPr>
          <w:rFonts w:ascii="Times New Roman" w:hAnsi="Times New Roman" w:cs="Times New Roman"/>
          <w:sz w:val="24"/>
          <w:szCs w:val="24"/>
        </w:rPr>
        <w:t>increasing college attainment i</w:t>
      </w:r>
      <w:r w:rsidR="008A6240">
        <w:rPr>
          <w:rFonts w:ascii="Times New Roman" w:hAnsi="Times New Roman" w:cs="Times New Roman"/>
          <w:sz w:val="24"/>
          <w:szCs w:val="24"/>
        </w:rPr>
        <w:t>s an important</w:t>
      </w:r>
      <w:r w:rsidR="007A6A4F">
        <w:rPr>
          <w:rFonts w:ascii="Times New Roman" w:hAnsi="Times New Roman" w:cs="Times New Roman"/>
          <w:sz w:val="24"/>
          <w:szCs w:val="24"/>
        </w:rPr>
        <w:t>—</w:t>
      </w:r>
      <w:r>
        <w:rPr>
          <w:rFonts w:ascii="Times New Roman" w:hAnsi="Times New Roman" w:cs="Times New Roman"/>
          <w:sz w:val="24"/>
          <w:szCs w:val="24"/>
        </w:rPr>
        <w:t>and</w:t>
      </w:r>
      <w:r w:rsidR="007A6A4F">
        <w:rPr>
          <w:rFonts w:ascii="Times New Roman" w:hAnsi="Times New Roman" w:cs="Times New Roman"/>
          <w:sz w:val="24"/>
          <w:szCs w:val="24"/>
        </w:rPr>
        <w:t xml:space="preserve"> </w:t>
      </w:r>
      <w:r>
        <w:rPr>
          <w:rFonts w:ascii="Times New Roman" w:hAnsi="Times New Roman" w:cs="Times New Roman"/>
          <w:sz w:val="24"/>
          <w:szCs w:val="24"/>
        </w:rPr>
        <w:t>potentially necessary</w:t>
      </w:r>
      <w:r w:rsidR="007A6A4F">
        <w:rPr>
          <w:rFonts w:ascii="Times New Roman" w:hAnsi="Times New Roman" w:cs="Times New Roman"/>
          <w:sz w:val="24"/>
          <w:szCs w:val="24"/>
        </w:rPr>
        <w:t>—</w:t>
      </w:r>
      <w:r>
        <w:rPr>
          <w:rFonts w:ascii="Times New Roman" w:hAnsi="Times New Roman" w:cs="Times New Roman"/>
          <w:sz w:val="24"/>
          <w:szCs w:val="24"/>
        </w:rPr>
        <w:t>policy</w:t>
      </w:r>
      <w:r w:rsidR="007A6A4F">
        <w:rPr>
          <w:rFonts w:ascii="Times New Roman" w:hAnsi="Times New Roman" w:cs="Times New Roman"/>
          <w:sz w:val="24"/>
          <w:szCs w:val="24"/>
        </w:rPr>
        <w:t xml:space="preserve"> </w:t>
      </w:r>
      <w:r w:rsidR="008A6240">
        <w:rPr>
          <w:rFonts w:ascii="Times New Roman" w:hAnsi="Times New Roman" w:cs="Times New Roman"/>
          <w:sz w:val="24"/>
          <w:szCs w:val="24"/>
        </w:rPr>
        <w:t xml:space="preserve">response to </w:t>
      </w:r>
      <w:r>
        <w:rPr>
          <w:rFonts w:ascii="Times New Roman" w:hAnsi="Times New Roman" w:cs="Times New Roman"/>
          <w:sz w:val="24"/>
          <w:szCs w:val="24"/>
        </w:rPr>
        <w:t>the rise in income inequality experienced over recent decades, but one that belongs alongside a number of other policy responses aimed at increasing the economic security of low-income Americans.</w:t>
      </w:r>
    </w:p>
    <w:p w14:paraId="5C7753ED" w14:textId="56224412" w:rsidR="00052FCD" w:rsidRDefault="000A626B" w:rsidP="00496F53">
      <w:pPr>
        <w:rPr>
          <w:rFonts w:ascii="Times New Roman" w:hAnsi="Times New Roman" w:cs="Times New Roman"/>
          <w:b/>
          <w:sz w:val="24"/>
          <w:szCs w:val="24"/>
        </w:rPr>
      </w:pPr>
      <w:r>
        <w:rPr>
          <w:rFonts w:ascii="Times New Roman" w:hAnsi="Times New Roman" w:cs="Times New Roman"/>
          <w:sz w:val="24"/>
          <w:szCs w:val="24"/>
        </w:rPr>
        <w:br w:type="page"/>
      </w:r>
      <w:r w:rsidRPr="000A626B">
        <w:rPr>
          <w:rFonts w:ascii="Times New Roman" w:hAnsi="Times New Roman" w:cs="Times New Roman"/>
          <w:b/>
          <w:sz w:val="24"/>
          <w:szCs w:val="24"/>
        </w:rPr>
        <w:lastRenderedPageBreak/>
        <w:t>References</w:t>
      </w:r>
    </w:p>
    <w:p w14:paraId="0E2F389F" w14:textId="449BF0B2" w:rsidR="000A626B" w:rsidRDefault="000A626B" w:rsidP="00EE3546">
      <w:pPr>
        <w:spacing w:after="0" w:line="240" w:lineRule="auto"/>
        <w:rPr>
          <w:rFonts w:ascii="Times New Roman" w:hAnsi="Times New Roman" w:cs="Times New Roman"/>
          <w:b/>
          <w:sz w:val="24"/>
          <w:szCs w:val="24"/>
        </w:rPr>
      </w:pPr>
    </w:p>
    <w:p w14:paraId="180E48A1" w14:textId="3B2FA2BB" w:rsidR="009716E1" w:rsidRDefault="009716E1" w:rsidP="00F943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Abraham, Katharine, and Melissa S. Kearney. </w:t>
      </w:r>
      <w:r w:rsidR="002429A5">
        <w:rPr>
          <w:rFonts w:ascii="Times New Roman" w:hAnsi="Times New Roman" w:cs="Times New Roman"/>
          <w:sz w:val="24"/>
          <w:szCs w:val="24"/>
        </w:rPr>
        <w:t>Forthcoming</w:t>
      </w:r>
      <w:r>
        <w:rPr>
          <w:rFonts w:ascii="Times New Roman" w:hAnsi="Times New Roman" w:cs="Times New Roman"/>
          <w:sz w:val="24"/>
          <w:szCs w:val="24"/>
        </w:rPr>
        <w:t>. “</w:t>
      </w:r>
      <w:r w:rsidRPr="009716E1">
        <w:rPr>
          <w:rFonts w:ascii="Times New Roman" w:hAnsi="Times New Roman" w:cs="Times New Roman"/>
          <w:sz w:val="24"/>
          <w:szCs w:val="24"/>
        </w:rPr>
        <w:t>Explaining the Decline in the U.S. Employment-to-Population Ratio: a Review of the Evidence</w:t>
      </w:r>
      <w:r>
        <w:rPr>
          <w:rFonts w:ascii="Times New Roman" w:hAnsi="Times New Roman" w:cs="Times New Roman"/>
          <w:sz w:val="24"/>
          <w:szCs w:val="24"/>
        </w:rPr>
        <w:t xml:space="preserve">.” </w:t>
      </w:r>
      <w:r w:rsidR="004C23E4" w:rsidRPr="004C23E4">
        <w:rPr>
          <w:rFonts w:ascii="Times New Roman" w:hAnsi="Times New Roman" w:cs="Times New Roman"/>
          <w:i/>
          <w:sz w:val="24"/>
          <w:szCs w:val="24"/>
        </w:rPr>
        <w:t>Journal of Economic Literature</w:t>
      </w:r>
      <w:r w:rsidR="004C23E4">
        <w:rPr>
          <w:rFonts w:ascii="Times New Roman" w:hAnsi="Times New Roman" w:cs="Times New Roman"/>
          <w:sz w:val="24"/>
          <w:szCs w:val="24"/>
        </w:rPr>
        <w:t>.</w:t>
      </w:r>
    </w:p>
    <w:p w14:paraId="19A9D1B6" w14:textId="77777777" w:rsidR="009716E1" w:rsidRDefault="009716E1" w:rsidP="00F9436E">
      <w:pPr>
        <w:spacing w:after="0" w:line="240" w:lineRule="auto"/>
        <w:rPr>
          <w:rFonts w:ascii="Times New Roman" w:hAnsi="Times New Roman" w:cs="Times New Roman"/>
          <w:sz w:val="24"/>
          <w:szCs w:val="24"/>
        </w:rPr>
      </w:pPr>
    </w:p>
    <w:p w14:paraId="2D6DBAB3" w14:textId="77051955" w:rsidR="000A626B" w:rsidRDefault="00F9436E" w:rsidP="00F9436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Acemoglu</w:t>
      </w:r>
      <w:proofErr w:type="spellEnd"/>
      <w:r>
        <w:rPr>
          <w:rFonts w:ascii="Times New Roman" w:hAnsi="Times New Roman" w:cs="Times New Roman"/>
          <w:sz w:val="24"/>
          <w:szCs w:val="24"/>
        </w:rPr>
        <w:t xml:space="preserve">, Daron, and David </w:t>
      </w:r>
      <w:proofErr w:type="spellStart"/>
      <w:r>
        <w:rPr>
          <w:rFonts w:ascii="Times New Roman" w:hAnsi="Times New Roman" w:cs="Times New Roman"/>
          <w:sz w:val="24"/>
          <w:szCs w:val="24"/>
        </w:rPr>
        <w:t>Autor</w:t>
      </w:r>
      <w:proofErr w:type="spellEnd"/>
      <w:r>
        <w:rPr>
          <w:rFonts w:ascii="Times New Roman" w:hAnsi="Times New Roman" w:cs="Times New Roman"/>
          <w:sz w:val="24"/>
          <w:szCs w:val="24"/>
        </w:rPr>
        <w:t>. 2011. “</w:t>
      </w:r>
      <w:r w:rsidRPr="00F9436E">
        <w:rPr>
          <w:rFonts w:ascii="Times New Roman" w:hAnsi="Times New Roman" w:cs="Times New Roman"/>
          <w:sz w:val="24"/>
          <w:szCs w:val="24"/>
        </w:rPr>
        <w:t>Skills, Tasks and Technologies:</w:t>
      </w:r>
      <w:r>
        <w:rPr>
          <w:rFonts w:ascii="Times New Roman" w:hAnsi="Times New Roman" w:cs="Times New Roman"/>
          <w:sz w:val="24"/>
          <w:szCs w:val="24"/>
        </w:rPr>
        <w:t xml:space="preserve"> </w:t>
      </w:r>
      <w:r w:rsidRPr="00F9436E">
        <w:rPr>
          <w:rFonts w:ascii="Times New Roman" w:hAnsi="Times New Roman" w:cs="Times New Roman"/>
          <w:sz w:val="24"/>
          <w:szCs w:val="24"/>
        </w:rPr>
        <w:t>Implications for Employment and</w:t>
      </w:r>
      <w:r>
        <w:rPr>
          <w:rFonts w:ascii="Times New Roman" w:hAnsi="Times New Roman" w:cs="Times New Roman"/>
          <w:sz w:val="24"/>
          <w:szCs w:val="24"/>
        </w:rPr>
        <w:t xml:space="preserve"> </w:t>
      </w:r>
      <w:r w:rsidRPr="00F9436E">
        <w:rPr>
          <w:rFonts w:ascii="Times New Roman" w:hAnsi="Times New Roman" w:cs="Times New Roman"/>
          <w:sz w:val="24"/>
          <w:szCs w:val="24"/>
        </w:rPr>
        <w:t>Earnings</w:t>
      </w:r>
      <w:r>
        <w:rPr>
          <w:rFonts w:ascii="Times New Roman" w:hAnsi="Times New Roman" w:cs="Times New Roman"/>
          <w:sz w:val="24"/>
          <w:szCs w:val="24"/>
        </w:rPr>
        <w:t xml:space="preserve">.” In </w:t>
      </w:r>
      <w:proofErr w:type="spellStart"/>
      <w:r>
        <w:rPr>
          <w:rFonts w:ascii="Times New Roman" w:hAnsi="Times New Roman" w:cs="Times New Roman"/>
          <w:sz w:val="24"/>
          <w:szCs w:val="24"/>
        </w:rPr>
        <w:t>Orley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Ashenfelter</w:t>
      </w:r>
      <w:proofErr w:type="spellEnd"/>
      <w:r>
        <w:rPr>
          <w:rFonts w:ascii="Times New Roman" w:hAnsi="Times New Roman" w:cs="Times New Roman"/>
          <w:sz w:val="24"/>
          <w:szCs w:val="24"/>
        </w:rPr>
        <w:t xml:space="preserve"> and David Card, eds., </w:t>
      </w:r>
      <w:r>
        <w:rPr>
          <w:rFonts w:ascii="Times New Roman" w:hAnsi="Times New Roman" w:cs="Times New Roman"/>
          <w:i/>
          <w:sz w:val="24"/>
          <w:szCs w:val="24"/>
        </w:rPr>
        <w:t>Handbook of Labor Economics, Volume 4B</w:t>
      </w:r>
      <w:r>
        <w:rPr>
          <w:rFonts w:ascii="Times New Roman" w:hAnsi="Times New Roman" w:cs="Times New Roman"/>
          <w:sz w:val="24"/>
          <w:szCs w:val="24"/>
        </w:rPr>
        <w:t>. New York, NY: North Holland. pp. 1043</w:t>
      </w:r>
      <w:r>
        <w:rPr>
          <w:rFonts w:ascii="Times New Roman" w:hAnsi="Times New Roman" w:cs="Times New Roman"/>
          <w:sz w:val="24"/>
          <w:szCs w:val="24"/>
        </w:rPr>
        <w:sym w:font="Symbol" w:char="F02D"/>
      </w:r>
      <w:r>
        <w:rPr>
          <w:rFonts w:ascii="Times New Roman" w:hAnsi="Times New Roman" w:cs="Times New Roman"/>
          <w:sz w:val="24"/>
          <w:szCs w:val="24"/>
        </w:rPr>
        <w:t>1171.</w:t>
      </w:r>
    </w:p>
    <w:p w14:paraId="5A7CFBE9" w14:textId="07D8F7FC" w:rsidR="00F9436E" w:rsidRDefault="00F9436E" w:rsidP="00F9436E">
      <w:pPr>
        <w:spacing w:after="0" w:line="240" w:lineRule="auto"/>
        <w:rPr>
          <w:rFonts w:ascii="Times New Roman" w:hAnsi="Times New Roman" w:cs="Times New Roman"/>
          <w:sz w:val="24"/>
          <w:szCs w:val="24"/>
        </w:rPr>
      </w:pPr>
    </w:p>
    <w:p w14:paraId="69E64769" w14:textId="0F7AAD37" w:rsidR="00E126FB" w:rsidRPr="00BA0D75" w:rsidRDefault="00E126FB" w:rsidP="00F9436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Autor</w:t>
      </w:r>
      <w:proofErr w:type="spellEnd"/>
      <w:r>
        <w:rPr>
          <w:rFonts w:ascii="Times New Roman" w:hAnsi="Times New Roman" w:cs="Times New Roman"/>
          <w:sz w:val="24"/>
          <w:szCs w:val="24"/>
        </w:rPr>
        <w:t xml:space="preserve">, David. 2014. “Skills, Education, and the Rise of Earnings Inequality </w:t>
      </w:r>
      <w:proofErr w:type="gramStart"/>
      <w:r>
        <w:rPr>
          <w:rFonts w:ascii="Times New Roman" w:hAnsi="Times New Roman" w:cs="Times New Roman"/>
          <w:sz w:val="24"/>
          <w:szCs w:val="24"/>
        </w:rPr>
        <w:t>Among</w:t>
      </w:r>
      <w:proofErr w:type="gramEnd"/>
      <w:r>
        <w:rPr>
          <w:rFonts w:ascii="Times New Roman" w:hAnsi="Times New Roman" w:cs="Times New Roman"/>
          <w:sz w:val="24"/>
          <w:szCs w:val="24"/>
        </w:rPr>
        <w:t xml:space="preserve"> the `Other 99 Percent’.” </w:t>
      </w:r>
      <w:r>
        <w:rPr>
          <w:rFonts w:ascii="Times New Roman" w:hAnsi="Times New Roman" w:cs="Times New Roman"/>
          <w:i/>
          <w:sz w:val="24"/>
          <w:szCs w:val="24"/>
        </w:rPr>
        <w:t>Science</w:t>
      </w:r>
      <w:r>
        <w:rPr>
          <w:rFonts w:ascii="Times New Roman" w:hAnsi="Times New Roman" w:cs="Times New Roman"/>
          <w:sz w:val="24"/>
          <w:szCs w:val="24"/>
        </w:rPr>
        <w:t xml:space="preserve"> 344(6186): 843</w:t>
      </w:r>
      <w:r>
        <w:rPr>
          <w:rFonts w:ascii="Times New Roman" w:hAnsi="Times New Roman" w:cs="Times New Roman"/>
          <w:sz w:val="24"/>
          <w:szCs w:val="24"/>
        </w:rPr>
        <w:sym w:font="Symbol" w:char="F02D"/>
      </w:r>
      <w:r>
        <w:rPr>
          <w:rFonts w:ascii="Times New Roman" w:hAnsi="Times New Roman" w:cs="Times New Roman"/>
          <w:sz w:val="24"/>
          <w:szCs w:val="24"/>
        </w:rPr>
        <w:t>851.</w:t>
      </w:r>
    </w:p>
    <w:p w14:paraId="584D96BE" w14:textId="77777777" w:rsidR="00E126FB" w:rsidRDefault="00E126FB" w:rsidP="00F9436E">
      <w:pPr>
        <w:spacing w:after="0" w:line="240" w:lineRule="auto"/>
        <w:rPr>
          <w:rFonts w:ascii="Times New Roman" w:hAnsi="Times New Roman" w:cs="Times New Roman"/>
          <w:sz w:val="24"/>
          <w:szCs w:val="24"/>
        </w:rPr>
      </w:pPr>
    </w:p>
    <w:p w14:paraId="14FDD675" w14:textId="6EA3D1F3" w:rsidR="00F9436E" w:rsidRDefault="00F9436E" w:rsidP="00F9436E">
      <w:pPr>
        <w:spacing w:after="0" w:line="240" w:lineRule="auto"/>
        <w:rPr>
          <w:rFonts w:ascii="Times New Roman" w:hAnsi="Times New Roman" w:cs="Times New Roman"/>
          <w:sz w:val="24"/>
          <w:szCs w:val="24"/>
        </w:rPr>
      </w:pPr>
      <w:r w:rsidRPr="00F9436E">
        <w:rPr>
          <w:rFonts w:ascii="Times New Roman" w:hAnsi="Times New Roman" w:cs="Times New Roman"/>
          <w:sz w:val="24"/>
          <w:szCs w:val="24"/>
        </w:rPr>
        <w:t xml:space="preserve">Bahr, Peter R., Susan </w:t>
      </w:r>
      <w:proofErr w:type="spellStart"/>
      <w:r w:rsidRPr="00F9436E">
        <w:rPr>
          <w:rFonts w:ascii="Times New Roman" w:hAnsi="Times New Roman" w:cs="Times New Roman"/>
          <w:sz w:val="24"/>
          <w:szCs w:val="24"/>
        </w:rPr>
        <w:t>Dynarski</w:t>
      </w:r>
      <w:proofErr w:type="spellEnd"/>
      <w:r w:rsidRPr="00F9436E">
        <w:rPr>
          <w:rFonts w:ascii="Times New Roman" w:hAnsi="Times New Roman" w:cs="Times New Roman"/>
          <w:sz w:val="24"/>
          <w:szCs w:val="24"/>
        </w:rPr>
        <w:t xml:space="preserve">, Brian Jacob, Daniel </w:t>
      </w:r>
      <w:proofErr w:type="spellStart"/>
      <w:r w:rsidRPr="00F9436E">
        <w:rPr>
          <w:rFonts w:ascii="Times New Roman" w:hAnsi="Times New Roman" w:cs="Times New Roman"/>
          <w:sz w:val="24"/>
          <w:szCs w:val="24"/>
        </w:rPr>
        <w:t>Kreisman</w:t>
      </w:r>
      <w:proofErr w:type="spellEnd"/>
      <w:r w:rsidRPr="00F9436E">
        <w:rPr>
          <w:rFonts w:ascii="Times New Roman" w:hAnsi="Times New Roman" w:cs="Times New Roman"/>
          <w:sz w:val="24"/>
          <w:szCs w:val="24"/>
        </w:rPr>
        <w:t xml:space="preserve">, Alfredo Sosa, and Mark </w:t>
      </w:r>
      <w:proofErr w:type="spellStart"/>
      <w:r w:rsidRPr="00F9436E">
        <w:rPr>
          <w:rFonts w:ascii="Times New Roman" w:hAnsi="Times New Roman" w:cs="Times New Roman"/>
          <w:sz w:val="24"/>
          <w:szCs w:val="24"/>
        </w:rPr>
        <w:t>Wiederspan</w:t>
      </w:r>
      <w:proofErr w:type="spellEnd"/>
      <w:r w:rsidRPr="00F9436E">
        <w:rPr>
          <w:rFonts w:ascii="Times New Roman" w:hAnsi="Times New Roman" w:cs="Times New Roman"/>
          <w:sz w:val="24"/>
          <w:szCs w:val="24"/>
        </w:rPr>
        <w:t xml:space="preserve">. 2015. “Labor Market Returns to Community College Awards: Evidence </w:t>
      </w:r>
      <w:proofErr w:type="gramStart"/>
      <w:r w:rsidRPr="00F9436E">
        <w:rPr>
          <w:rFonts w:ascii="Times New Roman" w:hAnsi="Times New Roman" w:cs="Times New Roman"/>
          <w:sz w:val="24"/>
          <w:szCs w:val="24"/>
        </w:rPr>
        <w:t>From</w:t>
      </w:r>
      <w:proofErr w:type="gramEnd"/>
      <w:r w:rsidRPr="00F9436E">
        <w:rPr>
          <w:rFonts w:ascii="Times New Roman" w:hAnsi="Times New Roman" w:cs="Times New Roman"/>
          <w:sz w:val="24"/>
          <w:szCs w:val="24"/>
        </w:rPr>
        <w:t xml:space="preserve"> Michigan.” CAPSEE Working Paper.</w:t>
      </w:r>
    </w:p>
    <w:p w14:paraId="1DBA3BE9" w14:textId="0C990B07" w:rsidR="00085196" w:rsidRDefault="00085196" w:rsidP="00F9436E">
      <w:pPr>
        <w:spacing w:after="0" w:line="240" w:lineRule="auto"/>
        <w:rPr>
          <w:rFonts w:ascii="Times New Roman" w:hAnsi="Times New Roman" w:cs="Times New Roman"/>
          <w:sz w:val="24"/>
          <w:szCs w:val="24"/>
        </w:rPr>
      </w:pPr>
    </w:p>
    <w:p w14:paraId="0E1D2847" w14:textId="2A628C75" w:rsidR="00085196" w:rsidRPr="00677E1E" w:rsidRDefault="00085196" w:rsidP="00085196">
      <w:pPr>
        <w:spacing w:after="0" w:line="240" w:lineRule="auto"/>
        <w:rPr>
          <w:rFonts w:ascii="Times New Roman" w:hAnsi="Times New Roman" w:cs="Times New Roman"/>
          <w:sz w:val="24"/>
          <w:szCs w:val="24"/>
        </w:rPr>
      </w:pPr>
      <w:r>
        <w:rPr>
          <w:rFonts w:ascii="Times New Roman" w:hAnsi="Times New Roman" w:cs="Times New Roman"/>
          <w:sz w:val="24"/>
          <w:szCs w:val="24"/>
        </w:rPr>
        <w:t>Card</w:t>
      </w:r>
      <w:r w:rsidR="00FC1741">
        <w:rPr>
          <w:rFonts w:ascii="Times New Roman" w:hAnsi="Times New Roman" w:cs="Times New Roman"/>
          <w:sz w:val="24"/>
          <w:szCs w:val="24"/>
        </w:rPr>
        <w:t>, David,</w:t>
      </w:r>
      <w:r>
        <w:rPr>
          <w:rFonts w:ascii="Times New Roman" w:hAnsi="Times New Roman" w:cs="Times New Roman"/>
          <w:sz w:val="24"/>
          <w:szCs w:val="24"/>
        </w:rPr>
        <w:t xml:space="preserve"> and </w:t>
      </w:r>
      <w:r w:rsidR="00FC1741">
        <w:rPr>
          <w:rFonts w:ascii="Times New Roman" w:hAnsi="Times New Roman" w:cs="Times New Roman"/>
          <w:sz w:val="24"/>
          <w:szCs w:val="24"/>
        </w:rPr>
        <w:t xml:space="preserve">Thomas </w:t>
      </w:r>
      <w:proofErr w:type="spellStart"/>
      <w:r>
        <w:rPr>
          <w:rFonts w:ascii="Times New Roman" w:hAnsi="Times New Roman" w:cs="Times New Roman"/>
          <w:sz w:val="24"/>
          <w:szCs w:val="24"/>
        </w:rPr>
        <w:t>Lemiuex</w:t>
      </w:r>
      <w:proofErr w:type="spellEnd"/>
      <w:r w:rsidR="00FC1741">
        <w:rPr>
          <w:rFonts w:ascii="Times New Roman" w:hAnsi="Times New Roman" w:cs="Times New Roman"/>
          <w:sz w:val="24"/>
          <w:szCs w:val="24"/>
        </w:rPr>
        <w:t>.</w:t>
      </w:r>
      <w:r>
        <w:rPr>
          <w:rFonts w:ascii="Times New Roman" w:hAnsi="Times New Roman" w:cs="Times New Roman"/>
          <w:sz w:val="24"/>
          <w:szCs w:val="24"/>
        </w:rPr>
        <w:t xml:space="preserve"> 2001</w:t>
      </w:r>
      <w:r w:rsidR="00FC1741">
        <w:rPr>
          <w:rFonts w:ascii="Times New Roman" w:hAnsi="Times New Roman" w:cs="Times New Roman"/>
          <w:sz w:val="24"/>
          <w:szCs w:val="24"/>
        </w:rPr>
        <w:t>. “</w:t>
      </w:r>
      <w:r w:rsidR="00FC1741" w:rsidRPr="00FC1741">
        <w:rPr>
          <w:rFonts w:ascii="Times New Roman" w:hAnsi="Times New Roman" w:cs="Times New Roman"/>
          <w:sz w:val="24"/>
          <w:szCs w:val="24"/>
        </w:rPr>
        <w:t xml:space="preserve">Can Falling Supply Explain the Rising Return to College for Younger Men? </w:t>
      </w:r>
      <w:proofErr w:type="spellStart"/>
      <w:r w:rsidR="00FC1741" w:rsidRPr="00FC1741">
        <w:rPr>
          <w:rFonts w:ascii="Times New Roman" w:hAnsi="Times New Roman" w:cs="Times New Roman"/>
          <w:sz w:val="24"/>
          <w:szCs w:val="24"/>
        </w:rPr>
        <w:t>ACohort</w:t>
      </w:r>
      <w:proofErr w:type="spellEnd"/>
      <w:r w:rsidR="00FC1741" w:rsidRPr="00FC1741">
        <w:rPr>
          <w:rFonts w:ascii="Times New Roman" w:hAnsi="Times New Roman" w:cs="Times New Roman"/>
          <w:sz w:val="24"/>
          <w:szCs w:val="24"/>
        </w:rPr>
        <w:t>-Based Analysis</w:t>
      </w:r>
      <w:r w:rsidR="00FC1741">
        <w:rPr>
          <w:rFonts w:ascii="Times New Roman" w:hAnsi="Times New Roman" w:cs="Times New Roman"/>
          <w:sz w:val="24"/>
          <w:szCs w:val="24"/>
        </w:rPr>
        <w:t xml:space="preserve">.” </w:t>
      </w:r>
      <w:r w:rsidR="00FC1741">
        <w:rPr>
          <w:rFonts w:ascii="Times New Roman" w:hAnsi="Times New Roman" w:cs="Times New Roman"/>
          <w:i/>
          <w:sz w:val="24"/>
          <w:szCs w:val="24"/>
        </w:rPr>
        <w:t>Quarterly Journal of Economics</w:t>
      </w:r>
      <w:r w:rsidR="00FC1741">
        <w:rPr>
          <w:rFonts w:ascii="Times New Roman" w:hAnsi="Times New Roman" w:cs="Times New Roman"/>
          <w:sz w:val="24"/>
          <w:szCs w:val="24"/>
        </w:rPr>
        <w:t xml:space="preserve"> 116(2): 705</w:t>
      </w:r>
      <w:r w:rsidR="00FC1741">
        <w:rPr>
          <w:rFonts w:ascii="Times New Roman" w:hAnsi="Times New Roman" w:cs="Times New Roman"/>
          <w:sz w:val="24"/>
          <w:szCs w:val="24"/>
        </w:rPr>
        <w:sym w:font="Symbol" w:char="F02D"/>
      </w:r>
      <w:r w:rsidR="00FC1741">
        <w:rPr>
          <w:rFonts w:ascii="Times New Roman" w:hAnsi="Times New Roman" w:cs="Times New Roman"/>
          <w:sz w:val="24"/>
          <w:szCs w:val="24"/>
        </w:rPr>
        <w:t>746.</w:t>
      </w:r>
    </w:p>
    <w:p w14:paraId="661FB5B9" w14:textId="04BBAE3F" w:rsidR="00B9630D" w:rsidRDefault="00B9630D" w:rsidP="00F9436E">
      <w:pPr>
        <w:spacing w:after="0" w:line="240" w:lineRule="auto"/>
        <w:rPr>
          <w:rFonts w:ascii="Times New Roman" w:hAnsi="Times New Roman" w:cs="Times New Roman"/>
          <w:sz w:val="24"/>
          <w:szCs w:val="24"/>
        </w:rPr>
      </w:pPr>
    </w:p>
    <w:p w14:paraId="2F185651" w14:textId="29ABE9A5" w:rsidR="00CF69D0" w:rsidRDefault="00CF69D0" w:rsidP="00F9436E">
      <w:pPr>
        <w:spacing w:after="0" w:line="240" w:lineRule="auto"/>
        <w:rPr>
          <w:rFonts w:ascii="Times New Roman" w:hAnsi="Times New Roman" w:cs="Times New Roman"/>
          <w:sz w:val="24"/>
          <w:szCs w:val="24"/>
        </w:rPr>
      </w:pPr>
      <w:r>
        <w:rPr>
          <w:rFonts w:ascii="Times New Roman" w:hAnsi="Times New Roman" w:cs="Times New Roman"/>
          <w:sz w:val="24"/>
          <w:szCs w:val="24"/>
        </w:rPr>
        <w:t>Deming, David J., and Christopher R. Walters. 2017. “</w:t>
      </w:r>
      <w:r w:rsidRPr="00CF69D0">
        <w:rPr>
          <w:rFonts w:ascii="Times New Roman" w:hAnsi="Times New Roman" w:cs="Times New Roman"/>
          <w:sz w:val="24"/>
          <w:szCs w:val="24"/>
        </w:rPr>
        <w:t>The Impact of Price Caps and Spending Cuts on U.S. Postsecondary Attainment</w:t>
      </w:r>
      <w:r>
        <w:rPr>
          <w:rFonts w:ascii="Times New Roman" w:hAnsi="Times New Roman" w:cs="Times New Roman"/>
          <w:sz w:val="24"/>
          <w:szCs w:val="24"/>
        </w:rPr>
        <w:t>.” NBER Working Paper No. 23736.</w:t>
      </w:r>
    </w:p>
    <w:p w14:paraId="4432D2CC" w14:textId="77777777" w:rsidR="00CF69D0" w:rsidRDefault="00CF69D0" w:rsidP="00F9436E">
      <w:pPr>
        <w:spacing w:after="0" w:line="240" w:lineRule="auto"/>
        <w:rPr>
          <w:rFonts w:ascii="Times New Roman" w:hAnsi="Times New Roman" w:cs="Times New Roman"/>
          <w:sz w:val="24"/>
          <w:szCs w:val="24"/>
        </w:rPr>
      </w:pPr>
    </w:p>
    <w:p w14:paraId="40BB3343" w14:textId="172EC794" w:rsidR="00DE260D" w:rsidRPr="00F9436E" w:rsidRDefault="00DE260D" w:rsidP="00DE260D">
      <w:pPr>
        <w:spacing w:after="0" w:line="240" w:lineRule="auto"/>
        <w:rPr>
          <w:rFonts w:ascii="Times New Roman" w:hAnsi="Times New Roman" w:cs="Times New Roman"/>
          <w:sz w:val="24"/>
          <w:szCs w:val="24"/>
        </w:rPr>
      </w:pPr>
      <w:r w:rsidRPr="00DE260D">
        <w:rPr>
          <w:rFonts w:ascii="Times New Roman" w:hAnsi="Times New Roman" w:cs="Times New Roman"/>
          <w:sz w:val="24"/>
          <w:szCs w:val="24"/>
        </w:rPr>
        <w:t>Flood,</w:t>
      </w:r>
      <w:r w:rsidR="00085196">
        <w:rPr>
          <w:rFonts w:ascii="Times New Roman" w:hAnsi="Times New Roman" w:cs="Times New Roman"/>
          <w:sz w:val="24"/>
          <w:szCs w:val="24"/>
        </w:rPr>
        <w:t xml:space="preserve"> Sarah</w:t>
      </w:r>
      <w:r w:rsidRPr="00DE260D">
        <w:rPr>
          <w:rFonts w:ascii="Times New Roman" w:hAnsi="Times New Roman" w:cs="Times New Roman"/>
          <w:sz w:val="24"/>
          <w:szCs w:val="24"/>
        </w:rPr>
        <w:t xml:space="preserve"> Miriam King, </w:t>
      </w:r>
      <w:proofErr w:type="spellStart"/>
      <w:r w:rsidRPr="00DE260D">
        <w:rPr>
          <w:rFonts w:ascii="Times New Roman" w:hAnsi="Times New Roman" w:cs="Times New Roman"/>
          <w:sz w:val="24"/>
          <w:szCs w:val="24"/>
        </w:rPr>
        <w:t>Renae</w:t>
      </w:r>
      <w:proofErr w:type="spellEnd"/>
      <w:r w:rsidRPr="00DE260D">
        <w:rPr>
          <w:rFonts w:ascii="Times New Roman" w:hAnsi="Times New Roman" w:cs="Times New Roman"/>
          <w:sz w:val="24"/>
          <w:szCs w:val="24"/>
        </w:rPr>
        <w:t xml:space="preserve"> Rodgers, Steven </w:t>
      </w:r>
      <w:proofErr w:type="spellStart"/>
      <w:r w:rsidRPr="00DE260D">
        <w:rPr>
          <w:rFonts w:ascii="Times New Roman" w:hAnsi="Times New Roman" w:cs="Times New Roman"/>
          <w:sz w:val="24"/>
          <w:szCs w:val="24"/>
        </w:rPr>
        <w:t>Ruggles</w:t>
      </w:r>
      <w:proofErr w:type="spellEnd"/>
      <w:r>
        <w:rPr>
          <w:rFonts w:ascii="Times New Roman" w:hAnsi="Times New Roman" w:cs="Times New Roman"/>
          <w:sz w:val="24"/>
          <w:szCs w:val="24"/>
        </w:rPr>
        <w:t>,</w:t>
      </w:r>
      <w:r w:rsidRPr="00DE260D">
        <w:rPr>
          <w:rFonts w:ascii="Times New Roman" w:hAnsi="Times New Roman" w:cs="Times New Roman"/>
          <w:sz w:val="24"/>
          <w:szCs w:val="24"/>
        </w:rPr>
        <w:t xml:space="preserve"> and J. Robert Warren. </w:t>
      </w:r>
      <w:r>
        <w:rPr>
          <w:rFonts w:ascii="Times New Roman" w:hAnsi="Times New Roman" w:cs="Times New Roman"/>
          <w:sz w:val="24"/>
          <w:szCs w:val="24"/>
        </w:rPr>
        <w:t xml:space="preserve">2019. </w:t>
      </w:r>
      <w:r w:rsidRPr="00DE260D">
        <w:rPr>
          <w:rFonts w:ascii="Times New Roman" w:hAnsi="Times New Roman" w:cs="Times New Roman"/>
          <w:i/>
          <w:sz w:val="24"/>
          <w:szCs w:val="24"/>
        </w:rPr>
        <w:t>Integrated Public Use Microdata Series, Current Population Survey: Version 6.0 [dataset]</w:t>
      </w:r>
      <w:r w:rsidRPr="00DE260D">
        <w:rPr>
          <w:rFonts w:ascii="Times New Roman" w:hAnsi="Times New Roman" w:cs="Times New Roman"/>
          <w:sz w:val="24"/>
          <w:szCs w:val="24"/>
        </w:rPr>
        <w:t xml:space="preserve">. Minneapolis, MN: IPUMS. </w:t>
      </w:r>
      <w:hyperlink r:id="rId8" w:history="1">
        <w:r w:rsidRPr="00DE260D">
          <w:rPr>
            <w:rStyle w:val="Hyperlink"/>
            <w:rFonts w:ascii="Times New Roman" w:hAnsi="Times New Roman" w:cs="Times New Roman"/>
            <w:sz w:val="24"/>
            <w:szCs w:val="24"/>
          </w:rPr>
          <w:t>https://doi.org/10.18128/D030.V6.0</w:t>
        </w:r>
      </w:hyperlink>
      <w:r>
        <w:rPr>
          <w:rFonts w:ascii="Times New Roman" w:hAnsi="Times New Roman" w:cs="Times New Roman"/>
          <w:sz w:val="24"/>
          <w:szCs w:val="24"/>
        </w:rPr>
        <w:t>.</w:t>
      </w:r>
    </w:p>
    <w:p w14:paraId="07902A80" w14:textId="77777777" w:rsidR="00DE260D" w:rsidRDefault="00DE260D" w:rsidP="00F9436E">
      <w:pPr>
        <w:spacing w:after="0" w:line="240" w:lineRule="auto"/>
        <w:rPr>
          <w:rFonts w:ascii="Times New Roman" w:hAnsi="Times New Roman" w:cs="Times New Roman"/>
          <w:sz w:val="24"/>
          <w:szCs w:val="24"/>
        </w:rPr>
      </w:pPr>
    </w:p>
    <w:p w14:paraId="25766532" w14:textId="21B32F82" w:rsidR="00E126FB" w:rsidRPr="00BA0D75" w:rsidRDefault="00E126FB" w:rsidP="00F943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Goldin, Claudia, and Lawrence F. Katz. </w:t>
      </w:r>
      <w:r w:rsidR="0003610E">
        <w:rPr>
          <w:rFonts w:ascii="Times New Roman" w:hAnsi="Times New Roman" w:cs="Times New Roman"/>
          <w:sz w:val="24"/>
          <w:szCs w:val="24"/>
        </w:rPr>
        <w:t>2008</w:t>
      </w:r>
      <w:r w:rsidR="003260EB">
        <w:rPr>
          <w:rFonts w:ascii="Times New Roman" w:hAnsi="Times New Roman" w:cs="Times New Roman"/>
          <w:sz w:val="24"/>
          <w:szCs w:val="24"/>
        </w:rPr>
        <w:t xml:space="preserve">. </w:t>
      </w:r>
      <w:r w:rsidR="003260EB" w:rsidRPr="00F20A28">
        <w:rPr>
          <w:rFonts w:ascii="Times New Roman" w:hAnsi="Times New Roman" w:cs="Times New Roman"/>
          <w:i/>
          <w:sz w:val="24"/>
          <w:szCs w:val="24"/>
        </w:rPr>
        <w:t>The Race</w:t>
      </w:r>
      <w:r w:rsidR="003260EB">
        <w:rPr>
          <w:rFonts w:ascii="Times New Roman" w:hAnsi="Times New Roman" w:cs="Times New Roman"/>
          <w:i/>
          <w:sz w:val="24"/>
          <w:szCs w:val="24"/>
        </w:rPr>
        <w:t xml:space="preserve"> </w:t>
      </w:r>
      <w:proofErr w:type="gramStart"/>
      <w:r w:rsidR="003260EB">
        <w:rPr>
          <w:rFonts w:ascii="Times New Roman" w:hAnsi="Times New Roman" w:cs="Times New Roman"/>
          <w:i/>
          <w:sz w:val="24"/>
          <w:szCs w:val="24"/>
        </w:rPr>
        <w:t>Between</w:t>
      </w:r>
      <w:proofErr w:type="gramEnd"/>
      <w:r w:rsidR="003260EB">
        <w:rPr>
          <w:rFonts w:ascii="Times New Roman" w:hAnsi="Times New Roman" w:cs="Times New Roman"/>
          <w:i/>
          <w:sz w:val="24"/>
          <w:szCs w:val="24"/>
        </w:rPr>
        <w:t xml:space="preserve"> Education and Technology</w:t>
      </w:r>
      <w:r w:rsidR="00420EFB">
        <w:rPr>
          <w:rFonts w:ascii="Times New Roman" w:hAnsi="Times New Roman" w:cs="Times New Roman"/>
          <w:sz w:val="24"/>
          <w:szCs w:val="24"/>
        </w:rPr>
        <w:t>. Cambridge, MA: Harvard University Press.</w:t>
      </w:r>
    </w:p>
    <w:p w14:paraId="212FFDC2" w14:textId="324D6E56" w:rsidR="00E126FB" w:rsidRDefault="00E126FB" w:rsidP="00F9436E">
      <w:pPr>
        <w:spacing w:after="0" w:line="240" w:lineRule="auto"/>
        <w:rPr>
          <w:rFonts w:ascii="Times New Roman" w:hAnsi="Times New Roman" w:cs="Times New Roman"/>
          <w:sz w:val="24"/>
          <w:szCs w:val="24"/>
        </w:rPr>
      </w:pPr>
    </w:p>
    <w:p w14:paraId="5F8EA4D8" w14:textId="11C9919F" w:rsidR="00085196" w:rsidRDefault="00085196" w:rsidP="00F9436E">
      <w:pPr>
        <w:spacing w:after="0" w:line="240" w:lineRule="auto"/>
        <w:rPr>
          <w:rFonts w:ascii="Times New Roman" w:hAnsi="Times New Roman" w:cs="Times New Roman"/>
          <w:sz w:val="24"/>
          <w:szCs w:val="24"/>
        </w:rPr>
      </w:pPr>
      <w:r>
        <w:rPr>
          <w:rFonts w:ascii="Times New Roman" w:hAnsi="Times New Roman" w:cs="Times New Roman"/>
          <w:sz w:val="24"/>
          <w:szCs w:val="24"/>
        </w:rPr>
        <w:t>Goldin</w:t>
      </w:r>
      <w:r w:rsidR="00FC1741">
        <w:rPr>
          <w:rFonts w:ascii="Times New Roman" w:hAnsi="Times New Roman" w:cs="Times New Roman"/>
          <w:sz w:val="24"/>
          <w:szCs w:val="24"/>
        </w:rPr>
        <w:t>, Claudia,</w:t>
      </w:r>
      <w:r>
        <w:rPr>
          <w:rFonts w:ascii="Times New Roman" w:hAnsi="Times New Roman" w:cs="Times New Roman"/>
          <w:sz w:val="24"/>
          <w:szCs w:val="24"/>
        </w:rPr>
        <w:t xml:space="preserve"> and </w:t>
      </w:r>
      <w:r w:rsidR="00FC1741">
        <w:rPr>
          <w:rFonts w:ascii="Times New Roman" w:hAnsi="Times New Roman" w:cs="Times New Roman"/>
          <w:sz w:val="24"/>
          <w:szCs w:val="24"/>
        </w:rPr>
        <w:t xml:space="preserve">Robert A. </w:t>
      </w:r>
      <w:r>
        <w:rPr>
          <w:rFonts w:ascii="Times New Roman" w:hAnsi="Times New Roman" w:cs="Times New Roman"/>
          <w:sz w:val="24"/>
          <w:szCs w:val="24"/>
        </w:rPr>
        <w:t>Margo</w:t>
      </w:r>
      <w:r w:rsidR="00FC1741">
        <w:rPr>
          <w:rFonts w:ascii="Times New Roman" w:hAnsi="Times New Roman" w:cs="Times New Roman"/>
          <w:sz w:val="24"/>
          <w:szCs w:val="24"/>
        </w:rPr>
        <w:t>.</w:t>
      </w:r>
      <w:r>
        <w:rPr>
          <w:rFonts w:ascii="Times New Roman" w:hAnsi="Times New Roman" w:cs="Times New Roman"/>
          <w:sz w:val="24"/>
          <w:szCs w:val="24"/>
        </w:rPr>
        <w:t xml:space="preserve"> 1992</w:t>
      </w:r>
      <w:r w:rsidR="00FC1741">
        <w:rPr>
          <w:rFonts w:ascii="Times New Roman" w:hAnsi="Times New Roman" w:cs="Times New Roman"/>
          <w:sz w:val="24"/>
          <w:szCs w:val="24"/>
        </w:rPr>
        <w:t xml:space="preserve">. “The Great Compression: The Wage Structure in the United States at Mid-Century.” </w:t>
      </w:r>
      <w:r w:rsidR="00FC1741">
        <w:rPr>
          <w:rFonts w:ascii="Times New Roman" w:hAnsi="Times New Roman" w:cs="Times New Roman"/>
          <w:i/>
          <w:sz w:val="24"/>
          <w:szCs w:val="24"/>
        </w:rPr>
        <w:t>Quarterly Journal of Economics</w:t>
      </w:r>
      <w:r w:rsidR="00FC1741">
        <w:rPr>
          <w:rFonts w:ascii="Times New Roman" w:hAnsi="Times New Roman" w:cs="Times New Roman"/>
          <w:sz w:val="24"/>
          <w:szCs w:val="24"/>
        </w:rPr>
        <w:t xml:space="preserve"> 107(1): 1</w:t>
      </w:r>
      <w:r w:rsidR="00FC1741">
        <w:rPr>
          <w:rFonts w:ascii="Times New Roman" w:hAnsi="Times New Roman" w:cs="Times New Roman"/>
          <w:sz w:val="24"/>
          <w:szCs w:val="24"/>
        </w:rPr>
        <w:sym w:font="Symbol" w:char="F02D"/>
      </w:r>
      <w:r w:rsidR="00FC1741">
        <w:rPr>
          <w:rFonts w:ascii="Times New Roman" w:hAnsi="Times New Roman" w:cs="Times New Roman"/>
          <w:sz w:val="24"/>
          <w:szCs w:val="24"/>
        </w:rPr>
        <w:t>34.</w:t>
      </w:r>
    </w:p>
    <w:p w14:paraId="538A9C8F" w14:textId="77777777" w:rsidR="00085196" w:rsidRDefault="00085196" w:rsidP="00F9436E">
      <w:pPr>
        <w:spacing w:after="0" w:line="240" w:lineRule="auto"/>
        <w:rPr>
          <w:rFonts w:ascii="Times New Roman" w:hAnsi="Times New Roman" w:cs="Times New Roman"/>
          <w:sz w:val="24"/>
          <w:szCs w:val="24"/>
        </w:rPr>
      </w:pPr>
    </w:p>
    <w:p w14:paraId="4D2B7504" w14:textId="5A781C04" w:rsidR="00667122" w:rsidRPr="00667122" w:rsidRDefault="00667122" w:rsidP="00F9436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Hershbein</w:t>
      </w:r>
      <w:proofErr w:type="spellEnd"/>
      <w:r>
        <w:rPr>
          <w:rFonts w:ascii="Times New Roman" w:hAnsi="Times New Roman" w:cs="Times New Roman"/>
          <w:sz w:val="24"/>
          <w:szCs w:val="24"/>
        </w:rPr>
        <w:t xml:space="preserve">, Brad, Melissa S. Kearney, and Lawrence H. Summers. 2015. “Increasing Education: What It Will and Will Not Do for Earnings and Inequality.” </w:t>
      </w:r>
      <w:r>
        <w:rPr>
          <w:rFonts w:ascii="Times New Roman" w:hAnsi="Times New Roman" w:cs="Times New Roman"/>
          <w:i/>
          <w:sz w:val="24"/>
          <w:szCs w:val="24"/>
        </w:rPr>
        <w:t>Brookings Up Front</w:t>
      </w:r>
      <w:r>
        <w:rPr>
          <w:rFonts w:ascii="Times New Roman" w:hAnsi="Times New Roman" w:cs="Times New Roman"/>
          <w:sz w:val="24"/>
          <w:szCs w:val="24"/>
        </w:rPr>
        <w:t xml:space="preserve">. March 31. Available at </w:t>
      </w:r>
      <w:hyperlink r:id="rId9" w:history="1">
        <w:r w:rsidRPr="009E06C4">
          <w:rPr>
            <w:rStyle w:val="Hyperlink"/>
            <w:rFonts w:ascii="Times New Roman" w:hAnsi="Times New Roman" w:cs="Times New Roman"/>
            <w:sz w:val="24"/>
            <w:szCs w:val="24"/>
          </w:rPr>
          <w:t>https://www.brookings.edu/blog/up-front/2015/03/31/increasing-education-what-it-will-and-will-not-do-for-earnings-and-earnings-inequality/</w:t>
        </w:r>
      </w:hyperlink>
      <w:r>
        <w:rPr>
          <w:rFonts w:ascii="Times New Roman" w:hAnsi="Times New Roman" w:cs="Times New Roman"/>
          <w:sz w:val="24"/>
          <w:szCs w:val="24"/>
        </w:rPr>
        <w:t xml:space="preserve">. </w:t>
      </w:r>
    </w:p>
    <w:p w14:paraId="642842F4" w14:textId="77777777" w:rsidR="00667122" w:rsidRDefault="00667122" w:rsidP="00F9436E">
      <w:pPr>
        <w:spacing w:after="0" w:line="240" w:lineRule="auto"/>
        <w:rPr>
          <w:rFonts w:ascii="Times New Roman" w:hAnsi="Times New Roman" w:cs="Times New Roman"/>
          <w:sz w:val="24"/>
          <w:szCs w:val="24"/>
        </w:rPr>
      </w:pPr>
    </w:p>
    <w:p w14:paraId="012C01FA" w14:textId="1734EB01" w:rsidR="00F9436E" w:rsidRPr="00F9436E" w:rsidRDefault="00F9436E" w:rsidP="00F9436E">
      <w:pPr>
        <w:spacing w:after="0" w:line="240" w:lineRule="auto"/>
        <w:rPr>
          <w:rFonts w:ascii="Times New Roman" w:hAnsi="Times New Roman" w:cs="Times New Roman"/>
          <w:sz w:val="24"/>
          <w:szCs w:val="24"/>
        </w:rPr>
      </w:pPr>
      <w:r w:rsidRPr="00F9436E">
        <w:rPr>
          <w:rFonts w:ascii="Times New Roman" w:hAnsi="Times New Roman" w:cs="Times New Roman"/>
          <w:sz w:val="24"/>
          <w:szCs w:val="24"/>
        </w:rPr>
        <w:t xml:space="preserve">Hoekstra, Mark. 2009. “The Effect of Attending the Flagship State University on Earnings: A Discontinuity-Based Approach.” </w:t>
      </w:r>
      <w:r w:rsidRPr="00F9436E">
        <w:rPr>
          <w:rFonts w:ascii="Times New Roman" w:hAnsi="Times New Roman" w:cs="Times New Roman"/>
          <w:i/>
          <w:sz w:val="24"/>
          <w:szCs w:val="24"/>
        </w:rPr>
        <w:t>Review of Economics and Statistics</w:t>
      </w:r>
      <w:r w:rsidRPr="00F9436E">
        <w:rPr>
          <w:rFonts w:ascii="Times New Roman" w:hAnsi="Times New Roman" w:cs="Times New Roman"/>
          <w:sz w:val="24"/>
          <w:szCs w:val="24"/>
        </w:rPr>
        <w:t xml:space="preserve"> 91(4): 717–724.</w:t>
      </w:r>
    </w:p>
    <w:p w14:paraId="1054814E" w14:textId="77777777" w:rsidR="00F9436E" w:rsidRPr="00F9436E" w:rsidRDefault="00F9436E" w:rsidP="00F9436E">
      <w:pPr>
        <w:spacing w:after="0" w:line="240" w:lineRule="auto"/>
        <w:rPr>
          <w:rFonts w:ascii="Times New Roman" w:hAnsi="Times New Roman" w:cs="Times New Roman"/>
          <w:sz w:val="24"/>
          <w:szCs w:val="24"/>
        </w:rPr>
      </w:pPr>
    </w:p>
    <w:p w14:paraId="47CE98F7" w14:textId="797AEDA0" w:rsidR="00F9436E" w:rsidRDefault="00F9436E" w:rsidP="00F9436E">
      <w:pPr>
        <w:spacing w:after="0" w:line="240" w:lineRule="auto"/>
        <w:rPr>
          <w:rFonts w:ascii="Times New Roman" w:hAnsi="Times New Roman" w:cs="Times New Roman"/>
          <w:sz w:val="24"/>
          <w:szCs w:val="24"/>
        </w:rPr>
      </w:pPr>
      <w:r w:rsidRPr="00F9436E">
        <w:rPr>
          <w:rFonts w:ascii="Times New Roman" w:hAnsi="Times New Roman" w:cs="Times New Roman"/>
          <w:sz w:val="24"/>
          <w:szCs w:val="24"/>
        </w:rPr>
        <w:t xml:space="preserve">Katz, Lawrence F., and Kevin M. Murphy. 1992. “Changes in Relative Wages, 1963–1987: Supply and Demand Factors.” </w:t>
      </w:r>
      <w:r w:rsidRPr="00F9436E">
        <w:rPr>
          <w:rFonts w:ascii="Times New Roman" w:hAnsi="Times New Roman" w:cs="Times New Roman"/>
          <w:i/>
          <w:sz w:val="24"/>
          <w:szCs w:val="24"/>
        </w:rPr>
        <w:t>Quarterly Journal of Economics</w:t>
      </w:r>
      <w:r w:rsidRPr="00F9436E">
        <w:rPr>
          <w:rFonts w:ascii="Times New Roman" w:hAnsi="Times New Roman" w:cs="Times New Roman"/>
          <w:sz w:val="24"/>
          <w:szCs w:val="24"/>
        </w:rPr>
        <w:t xml:space="preserve"> 107(1): 35–78.</w:t>
      </w:r>
    </w:p>
    <w:p w14:paraId="7BFB0CCE" w14:textId="7211FE95" w:rsidR="00085196" w:rsidRDefault="00085196" w:rsidP="00F9436E">
      <w:pPr>
        <w:spacing w:after="0" w:line="240" w:lineRule="auto"/>
        <w:rPr>
          <w:rFonts w:ascii="Times New Roman" w:hAnsi="Times New Roman" w:cs="Times New Roman"/>
          <w:sz w:val="24"/>
          <w:szCs w:val="24"/>
        </w:rPr>
      </w:pPr>
    </w:p>
    <w:p w14:paraId="3760965C" w14:textId="796FCB03" w:rsidR="00B022B0" w:rsidRPr="00540511" w:rsidRDefault="00B022B0" w:rsidP="00F9436E">
      <w:pPr>
        <w:spacing w:after="0" w:line="240" w:lineRule="auto"/>
        <w:rPr>
          <w:rStyle w:val="HTMLCite"/>
          <w:rFonts w:ascii="Times New Roman" w:hAnsi="Times New Roman" w:cs="Times New Roman"/>
          <w:i w:val="0"/>
          <w:iCs w:val="0"/>
          <w:sz w:val="24"/>
          <w:szCs w:val="24"/>
        </w:rPr>
      </w:pPr>
      <w:r w:rsidRPr="00540511">
        <w:rPr>
          <w:rStyle w:val="HTMLCite"/>
          <w:rFonts w:ascii="Times New Roman" w:hAnsi="Times New Roman" w:cs="Times New Roman"/>
          <w:i w:val="0"/>
          <w:iCs w:val="0"/>
          <w:sz w:val="24"/>
          <w:szCs w:val="24"/>
        </w:rPr>
        <w:lastRenderedPageBreak/>
        <w:t xml:space="preserve">Larrimore, Jeff, Richard V. </w:t>
      </w:r>
      <w:proofErr w:type="spellStart"/>
      <w:r w:rsidRPr="00540511">
        <w:rPr>
          <w:rStyle w:val="HTMLCite"/>
          <w:rFonts w:ascii="Times New Roman" w:hAnsi="Times New Roman" w:cs="Times New Roman"/>
          <w:i w:val="0"/>
          <w:iCs w:val="0"/>
          <w:sz w:val="24"/>
          <w:szCs w:val="24"/>
        </w:rPr>
        <w:t>Burkhauser</w:t>
      </w:r>
      <w:proofErr w:type="spellEnd"/>
      <w:r w:rsidRPr="00540511">
        <w:rPr>
          <w:rStyle w:val="HTMLCite"/>
          <w:rFonts w:ascii="Times New Roman" w:hAnsi="Times New Roman" w:cs="Times New Roman"/>
          <w:i w:val="0"/>
          <w:iCs w:val="0"/>
          <w:sz w:val="24"/>
          <w:szCs w:val="24"/>
        </w:rPr>
        <w:t xml:space="preserve">, </w:t>
      </w:r>
      <w:proofErr w:type="spellStart"/>
      <w:r w:rsidRPr="00540511">
        <w:rPr>
          <w:rStyle w:val="HTMLCite"/>
          <w:rFonts w:ascii="Times New Roman" w:hAnsi="Times New Roman" w:cs="Times New Roman"/>
          <w:i w:val="0"/>
          <w:iCs w:val="0"/>
          <w:sz w:val="24"/>
          <w:szCs w:val="24"/>
        </w:rPr>
        <w:t>Shuaizhang</w:t>
      </w:r>
      <w:proofErr w:type="spellEnd"/>
      <w:r w:rsidRPr="00540511">
        <w:rPr>
          <w:rStyle w:val="HTMLCite"/>
          <w:rFonts w:ascii="Times New Roman" w:hAnsi="Times New Roman" w:cs="Times New Roman"/>
          <w:i w:val="0"/>
          <w:iCs w:val="0"/>
          <w:sz w:val="24"/>
          <w:szCs w:val="24"/>
        </w:rPr>
        <w:t xml:space="preserve"> Feng, and Laura </w:t>
      </w:r>
      <w:proofErr w:type="spellStart"/>
      <w:r w:rsidRPr="00540511">
        <w:rPr>
          <w:rStyle w:val="HTMLCite"/>
          <w:rFonts w:ascii="Times New Roman" w:hAnsi="Times New Roman" w:cs="Times New Roman"/>
          <w:i w:val="0"/>
          <w:iCs w:val="0"/>
          <w:sz w:val="24"/>
          <w:szCs w:val="24"/>
        </w:rPr>
        <w:t>Zayatz</w:t>
      </w:r>
      <w:proofErr w:type="spellEnd"/>
      <w:r w:rsidRPr="00540511">
        <w:rPr>
          <w:rStyle w:val="HTMLCite"/>
          <w:rFonts w:ascii="Times New Roman" w:hAnsi="Times New Roman" w:cs="Times New Roman"/>
          <w:i w:val="0"/>
          <w:iCs w:val="0"/>
          <w:sz w:val="24"/>
          <w:szCs w:val="24"/>
        </w:rPr>
        <w:t xml:space="preserve">. </w:t>
      </w:r>
      <w:r w:rsidR="000F38A2" w:rsidRPr="00540511">
        <w:rPr>
          <w:rStyle w:val="HTMLCite"/>
          <w:rFonts w:ascii="Times New Roman" w:hAnsi="Times New Roman" w:cs="Times New Roman"/>
          <w:i w:val="0"/>
          <w:iCs w:val="0"/>
          <w:sz w:val="24"/>
          <w:szCs w:val="24"/>
        </w:rPr>
        <w:t xml:space="preserve">2008. </w:t>
      </w:r>
      <w:r w:rsidR="007A6A4F">
        <w:rPr>
          <w:rStyle w:val="HTMLCite"/>
          <w:rFonts w:ascii="Times New Roman" w:hAnsi="Times New Roman" w:cs="Times New Roman"/>
          <w:i w:val="0"/>
          <w:iCs w:val="0"/>
          <w:sz w:val="24"/>
          <w:szCs w:val="24"/>
        </w:rPr>
        <w:t>“</w:t>
      </w:r>
      <w:r w:rsidRPr="00540511">
        <w:rPr>
          <w:rStyle w:val="HTMLCite"/>
          <w:rFonts w:ascii="Times New Roman" w:hAnsi="Times New Roman" w:cs="Times New Roman"/>
          <w:i w:val="0"/>
          <w:iCs w:val="0"/>
          <w:sz w:val="24"/>
          <w:szCs w:val="24"/>
        </w:rPr>
        <w:t xml:space="preserve">Consistent Cell Means for </w:t>
      </w:r>
      <w:proofErr w:type="spellStart"/>
      <w:r w:rsidRPr="00540511">
        <w:rPr>
          <w:rStyle w:val="HTMLCite"/>
          <w:rFonts w:ascii="Times New Roman" w:hAnsi="Times New Roman" w:cs="Times New Roman"/>
          <w:i w:val="0"/>
          <w:iCs w:val="0"/>
          <w:sz w:val="24"/>
          <w:szCs w:val="24"/>
        </w:rPr>
        <w:t>Topcoded</w:t>
      </w:r>
      <w:proofErr w:type="spellEnd"/>
      <w:r w:rsidRPr="00540511">
        <w:rPr>
          <w:rStyle w:val="HTMLCite"/>
          <w:rFonts w:ascii="Times New Roman" w:hAnsi="Times New Roman" w:cs="Times New Roman"/>
          <w:i w:val="0"/>
          <w:iCs w:val="0"/>
          <w:sz w:val="24"/>
          <w:szCs w:val="24"/>
        </w:rPr>
        <w:t xml:space="preserve"> Incomes in the Public Use March CPS (1976-2007).</w:t>
      </w:r>
      <w:r w:rsidR="000F38A2" w:rsidRPr="00540511">
        <w:rPr>
          <w:rStyle w:val="HTMLCite"/>
          <w:rFonts w:ascii="Times New Roman" w:hAnsi="Times New Roman" w:cs="Times New Roman"/>
          <w:i w:val="0"/>
          <w:iCs w:val="0"/>
          <w:sz w:val="24"/>
          <w:szCs w:val="24"/>
        </w:rPr>
        <w:t>”</w:t>
      </w:r>
      <w:r w:rsidRPr="00540511">
        <w:rPr>
          <w:rStyle w:val="HTMLCite"/>
          <w:rFonts w:ascii="Times New Roman" w:hAnsi="Times New Roman" w:cs="Times New Roman"/>
          <w:i w:val="0"/>
          <w:iCs w:val="0"/>
          <w:sz w:val="24"/>
          <w:szCs w:val="24"/>
        </w:rPr>
        <w:t xml:space="preserve"> </w:t>
      </w:r>
      <w:r w:rsidRPr="00540511">
        <w:rPr>
          <w:rStyle w:val="HTMLCite"/>
          <w:rFonts w:ascii="Times New Roman" w:hAnsi="Times New Roman" w:cs="Times New Roman"/>
          <w:sz w:val="24"/>
          <w:szCs w:val="24"/>
        </w:rPr>
        <w:t>Journal of Economic and Social Measurement</w:t>
      </w:r>
      <w:r w:rsidRPr="00540511">
        <w:rPr>
          <w:rStyle w:val="HTMLCite"/>
          <w:rFonts w:ascii="Times New Roman" w:hAnsi="Times New Roman" w:cs="Times New Roman"/>
          <w:i w:val="0"/>
          <w:iCs w:val="0"/>
          <w:sz w:val="24"/>
          <w:szCs w:val="24"/>
        </w:rPr>
        <w:t xml:space="preserve"> 33(2/3): 89</w:t>
      </w:r>
      <w:r w:rsidR="007A6A4F">
        <w:rPr>
          <w:rStyle w:val="HTMLCite"/>
          <w:rFonts w:ascii="Times New Roman" w:hAnsi="Times New Roman" w:cs="Times New Roman"/>
          <w:i w:val="0"/>
          <w:iCs w:val="0"/>
          <w:sz w:val="24"/>
          <w:szCs w:val="24"/>
        </w:rPr>
        <w:sym w:font="Symbol" w:char="F02D"/>
      </w:r>
      <w:r w:rsidRPr="00540511">
        <w:rPr>
          <w:rStyle w:val="HTMLCite"/>
          <w:rFonts w:ascii="Times New Roman" w:hAnsi="Times New Roman" w:cs="Times New Roman"/>
          <w:i w:val="0"/>
          <w:iCs w:val="0"/>
          <w:sz w:val="24"/>
          <w:szCs w:val="24"/>
        </w:rPr>
        <w:t>128</w:t>
      </w:r>
      <w:r w:rsidR="000F38A2" w:rsidRPr="00540511">
        <w:rPr>
          <w:rStyle w:val="HTMLCite"/>
          <w:rFonts w:ascii="Times New Roman" w:hAnsi="Times New Roman" w:cs="Times New Roman"/>
          <w:i w:val="0"/>
          <w:iCs w:val="0"/>
          <w:sz w:val="24"/>
          <w:szCs w:val="24"/>
        </w:rPr>
        <w:t>.</w:t>
      </w:r>
    </w:p>
    <w:p w14:paraId="268B9E95" w14:textId="77777777" w:rsidR="00B022B0" w:rsidRDefault="00B022B0" w:rsidP="00F9436E">
      <w:pPr>
        <w:spacing w:after="0" w:line="240" w:lineRule="auto"/>
        <w:rPr>
          <w:rFonts w:ascii="Times New Roman" w:hAnsi="Times New Roman" w:cs="Times New Roman"/>
          <w:sz w:val="24"/>
          <w:szCs w:val="24"/>
        </w:rPr>
      </w:pPr>
    </w:p>
    <w:p w14:paraId="3860784B" w14:textId="15075610" w:rsidR="005C05C6" w:rsidRDefault="00423C4A" w:rsidP="00A03402">
      <w:pPr>
        <w:shd w:val="clear" w:color="auto" w:fill="FFFFFF"/>
        <w:spacing w:after="0" w:line="240" w:lineRule="atLeast"/>
        <w:textAlignment w:val="baseline"/>
        <w:rPr>
          <w:rFonts w:ascii="Times New Roman" w:hAnsi="Times New Roman" w:cs="Times New Roman"/>
          <w:sz w:val="24"/>
          <w:szCs w:val="24"/>
        </w:rPr>
      </w:pPr>
      <w:proofErr w:type="spellStart"/>
      <w:r w:rsidRPr="00423C4A">
        <w:rPr>
          <w:rFonts w:ascii="Times New Roman" w:hAnsi="Times New Roman" w:cs="Times New Roman"/>
          <w:sz w:val="24"/>
          <w:szCs w:val="24"/>
        </w:rPr>
        <w:t>Semega</w:t>
      </w:r>
      <w:proofErr w:type="spellEnd"/>
      <w:r w:rsidRPr="00423C4A">
        <w:rPr>
          <w:rFonts w:ascii="Times New Roman" w:hAnsi="Times New Roman" w:cs="Times New Roman"/>
          <w:sz w:val="24"/>
          <w:szCs w:val="24"/>
        </w:rPr>
        <w:t xml:space="preserve">, Jessica, Melissa </w:t>
      </w:r>
      <w:proofErr w:type="spellStart"/>
      <w:r w:rsidRPr="00423C4A">
        <w:rPr>
          <w:rFonts w:ascii="Times New Roman" w:hAnsi="Times New Roman" w:cs="Times New Roman"/>
          <w:sz w:val="24"/>
          <w:szCs w:val="24"/>
        </w:rPr>
        <w:t>Kollar</w:t>
      </w:r>
      <w:proofErr w:type="spellEnd"/>
      <w:r w:rsidRPr="00423C4A">
        <w:rPr>
          <w:rFonts w:ascii="Times New Roman" w:hAnsi="Times New Roman" w:cs="Times New Roman"/>
          <w:sz w:val="24"/>
          <w:szCs w:val="24"/>
        </w:rPr>
        <w:t xml:space="preserve">, John Creamer, and </w:t>
      </w:r>
      <w:proofErr w:type="spellStart"/>
      <w:r w:rsidRPr="00423C4A">
        <w:rPr>
          <w:rFonts w:ascii="Times New Roman" w:hAnsi="Times New Roman" w:cs="Times New Roman"/>
          <w:sz w:val="24"/>
          <w:szCs w:val="24"/>
        </w:rPr>
        <w:t>Abinash</w:t>
      </w:r>
      <w:proofErr w:type="spellEnd"/>
      <w:r w:rsidRPr="00423C4A">
        <w:rPr>
          <w:rFonts w:ascii="Times New Roman" w:hAnsi="Times New Roman" w:cs="Times New Roman"/>
          <w:sz w:val="24"/>
          <w:szCs w:val="24"/>
        </w:rPr>
        <w:t xml:space="preserve"> </w:t>
      </w:r>
      <w:proofErr w:type="spellStart"/>
      <w:r w:rsidRPr="00423C4A">
        <w:rPr>
          <w:rFonts w:ascii="Times New Roman" w:hAnsi="Times New Roman" w:cs="Times New Roman"/>
          <w:sz w:val="24"/>
          <w:szCs w:val="24"/>
        </w:rPr>
        <w:t>Mohanty</w:t>
      </w:r>
      <w:proofErr w:type="spellEnd"/>
      <w:r w:rsidRPr="00423C4A">
        <w:rPr>
          <w:rFonts w:ascii="Times New Roman" w:hAnsi="Times New Roman" w:cs="Times New Roman"/>
          <w:sz w:val="24"/>
          <w:szCs w:val="24"/>
        </w:rPr>
        <w:t>. 2019.</w:t>
      </w:r>
      <w:r>
        <w:rPr>
          <w:rFonts w:ascii="Times New Roman" w:hAnsi="Times New Roman" w:cs="Times New Roman"/>
          <w:sz w:val="24"/>
          <w:szCs w:val="24"/>
        </w:rPr>
        <w:t xml:space="preserve"> “</w:t>
      </w:r>
      <w:r w:rsidRPr="00423C4A">
        <w:rPr>
          <w:rFonts w:ascii="Times New Roman" w:hAnsi="Times New Roman" w:cs="Times New Roman"/>
          <w:sz w:val="24"/>
          <w:szCs w:val="24"/>
        </w:rPr>
        <w:t>U.S. Census Bureau Income and Poverty in the United States: 2018</w:t>
      </w:r>
      <w:r w:rsidR="00B5558A">
        <w:rPr>
          <w:rFonts w:ascii="Times New Roman" w:hAnsi="Times New Roman" w:cs="Times New Roman"/>
          <w:sz w:val="24"/>
          <w:szCs w:val="24"/>
        </w:rPr>
        <w:t>.</w:t>
      </w:r>
      <w:r w:rsidRPr="00423C4A">
        <w:rPr>
          <w:rFonts w:ascii="Times New Roman" w:hAnsi="Times New Roman" w:cs="Times New Roman"/>
          <w:sz w:val="24"/>
          <w:szCs w:val="24"/>
        </w:rPr>
        <w:t xml:space="preserve">” </w:t>
      </w:r>
      <w:r>
        <w:rPr>
          <w:rFonts w:ascii="Times New Roman" w:hAnsi="Times New Roman" w:cs="Times New Roman"/>
          <w:i/>
          <w:sz w:val="24"/>
          <w:szCs w:val="24"/>
        </w:rPr>
        <w:t>U.S. Census Bureau Report Number p60-266</w:t>
      </w:r>
      <w:r>
        <w:rPr>
          <w:rFonts w:ascii="Times New Roman" w:hAnsi="Times New Roman" w:cs="Times New Roman"/>
          <w:sz w:val="24"/>
          <w:szCs w:val="24"/>
        </w:rPr>
        <w:t>. Table B-1:</w:t>
      </w:r>
      <w:r>
        <w:rPr>
          <w:rFonts w:ascii="Arial" w:hAnsi="Arial" w:cs="Arial"/>
          <w:color w:val="000000"/>
        </w:rPr>
        <w:t xml:space="preserve"> </w:t>
      </w:r>
      <w:hyperlink r:id="rId10" w:history="1">
        <w:r w:rsidRPr="00496F53">
          <w:rPr>
            <w:rStyle w:val="Hyperlink"/>
            <w:rFonts w:ascii="Times New Roman" w:hAnsi="Times New Roman" w:cs="Times New Roman"/>
          </w:rPr>
          <w:t>https://www.census.gov/data/tables/2019/demo/income-poverty/p60-266.html</w:t>
        </w:r>
      </w:hyperlink>
    </w:p>
    <w:p w14:paraId="09ECD80A" w14:textId="77777777" w:rsidR="005C05C6" w:rsidRPr="00C20CB6" w:rsidRDefault="005C05C6" w:rsidP="00A03402">
      <w:pPr>
        <w:shd w:val="clear" w:color="auto" w:fill="FFFFFF"/>
        <w:spacing w:after="0" w:line="240" w:lineRule="atLeast"/>
        <w:textAlignment w:val="baseline"/>
        <w:rPr>
          <w:rFonts w:ascii="Arial" w:hAnsi="Arial" w:cs="Arial"/>
          <w:color w:val="000000"/>
        </w:rPr>
      </w:pPr>
    </w:p>
    <w:p w14:paraId="343B8871" w14:textId="09CB0A56" w:rsidR="00F9436E" w:rsidRPr="00F9436E" w:rsidRDefault="00F9436E" w:rsidP="00A03402">
      <w:pPr>
        <w:shd w:val="clear" w:color="auto" w:fill="FFFFFF"/>
        <w:spacing w:after="0" w:line="240" w:lineRule="atLeast"/>
        <w:textAlignment w:val="baseline"/>
        <w:rPr>
          <w:rFonts w:ascii="Times New Roman" w:hAnsi="Times New Roman" w:cs="Times New Roman"/>
          <w:sz w:val="24"/>
          <w:szCs w:val="24"/>
        </w:rPr>
      </w:pPr>
      <w:r w:rsidRPr="00F9436E">
        <w:rPr>
          <w:rFonts w:ascii="Times New Roman" w:hAnsi="Times New Roman" w:cs="Times New Roman"/>
          <w:sz w:val="24"/>
          <w:szCs w:val="24"/>
        </w:rPr>
        <w:t xml:space="preserve">Stevens, Ann H., Michal </w:t>
      </w:r>
      <w:proofErr w:type="spellStart"/>
      <w:r w:rsidRPr="00F9436E">
        <w:rPr>
          <w:rFonts w:ascii="Times New Roman" w:hAnsi="Times New Roman" w:cs="Times New Roman"/>
          <w:sz w:val="24"/>
          <w:szCs w:val="24"/>
        </w:rPr>
        <w:t>Kurlaender</w:t>
      </w:r>
      <w:proofErr w:type="spellEnd"/>
      <w:r w:rsidRPr="00F9436E">
        <w:rPr>
          <w:rFonts w:ascii="Times New Roman" w:hAnsi="Times New Roman" w:cs="Times New Roman"/>
          <w:sz w:val="24"/>
          <w:szCs w:val="24"/>
        </w:rPr>
        <w:t>, and Michel Grosz. 201</w:t>
      </w:r>
      <w:r w:rsidR="00667122">
        <w:rPr>
          <w:rFonts w:ascii="Times New Roman" w:hAnsi="Times New Roman" w:cs="Times New Roman"/>
          <w:sz w:val="24"/>
          <w:szCs w:val="24"/>
        </w:rPr>
        <w:t>9</w:t>
      </w:r>
      <w:r w:rsidRPr="00F9436E">
        <w:rPr>
          <w:rFonts w:ascii="Times New Roman" w:hAnsi="Times New Roman" w:cs="Times New Roman"/>
          <w:sz w:val="24"/>
          <w:szCs w:val="24"/>
        </w:rPr>
        <w:t xml:space="preserve">. “Career Technical Education and Labor Market Outcomes.” </w:t>
      </w:r>
      <w:r w:rsidR="00667122">
        <w:rPr>
          <w:rFonts w:ascii="Times New Roman" w:hAnsi="Times New Roman" w:cs="Times New Roman"/>
          <w:i/>
          <w:sz w:val="24"/>
          <w:szCs w:val="24"/>
        </w:rPr>
        <w:t xml:space="preserve">Journal of Human Resources </w:t>
      </w:r>
      <w:r w:rsidR="00667122">
        <w:rPr>
          <w:rFonts w:ascii="Times New Roman" w:hAnsi="Times New Roman" w:cs="Times New Roman"/>
          <w:sz w:val="24"/>
          <w:szCs w:val="24"/>
        </w:rPr>
        <w:t>54(4): 986</w:t>
      </w:r>
      <w:r w:rsidR="00667122" w:rsidRPr="00F9436E">
        <w:rPr>
          <w:rFonts w:ascii="Times New Roman" w:hAnsi="Times New Roman" w:cs="Times New Roman"/>
          <w:sz w:val="24"/>
          <w:szCs w:val="24"/>
        </w:rPr>
        <w:t>–</w:t>
      </w:r>
      <w:r w:rsidR="00667122">
        <w:rPr>
          <w:rFonts w:ascii="Times New Roman" w:hAnsi="Times New Roman" w:cs="Times New Roman"/>
          <w:sz w:val="24"/>
          <w:szCs w:val="24"/>
        </w:rPr>
        <w:t>1036.</w:t>
      </w:r>
    </w:p>
    <w:p w14:paraId="6AEE3502" w14:textId="77777777" w:rsidR="00F9436E" w:rsidRPr="00F9436E" w:rsidRDefault="00F9436E" w:rsidP="00F9436E">
      <w:pPr>
        <w:spacing w:after="0" w:line="240" w:lineRule="auto"/>
        <w:rPr>
          <w:rFonts w:ascii="Times New Roman" w:hAnsi="Times New Roman" w:cs="Times New Roman"/>
          <w:sz w:val="24"/>
          <w:szCs w:val="24"/>
        </w:rPr>
      </w:pPr>
    </w:p>
    <w:p w14:paraId="72489714" w14:textId="6261FB1D" w:rsidR="00FE3379" w:rsidRDefault="00F9436E" w:rsidP="00A03402">
      <w:pPr>
        <w:rPr>
          <w:rFonts w:ascii="Times New Roman" w:hAnsi="Times New Roman" w:cs="Times New Roman"/>
          <w:sz w:val="24"/>
          <w:szCs w:val="24"/>
        </w:rPr>
      </w:pPr>
      <w:r w:rsidRPr="00F9436E">
        <w:rPr>
          <w:rFonts w:ascii="Times New Roman" w:hAnsi="Times New Roman" w:cs="Times New Roman"/>
          <w:sz w:val="24"/>
          <w:szCs w:val="24"/>
        </w:rPr>
        <w:t xml:space="preserve">Zimmerman, Seth. 2014. “The Returns to College Admission for Academically Marginal Students.” </w:t>
      </w:r>
      <w:r w:rsidRPr="00667122">
        <w:rPr>
          <w:rFonts w:ascii="Times New Roman" w:hAnsi="Times New Roman" w:cs="Times New Roman"/>
          <w:i/>
          <w:sz w:val="24"/>
          <w:szCs w:val="24"/>
        </w:rPr>
        <w:t>Journal of Labor Economics</w:t>
      </w:r>
      <w:r w:rsidRPr="00F9436E">
        <w:rPr>
          <w:rFonts w:ascii="Times New Roman" w:hAnsi="Times New Roman" w:cs="Times New Roman"/>
          <w:sz w:val="24"/>
          <w:szCs w:val="24"/>
        </w:rPr>
        <w:t xml:space="preserve"> 32(4): 711–754.</w:t>
      </w:r>
    </w:p>
    <w:p w14:paraId="2B51BB38" w14:textId="77777777" w:rsidR="000F7C00" w:rsidRDefault="000F7C00">
      <w:pPr>
        <w:rPr>
          <w:rFonts w:ascii="Times New Roman" w:eastAsia="Times New Roman" w:hAnsi="Times New Roman" w:cs="Times New Roman"/>
          <w:b/>
          <w:color w:val="000000"/>
          <w:sz w:val="24"/>
          <w:szCs w:val="24"/>
        </w:rPr>
        <w:sectPr w:rsidR="000F7C00" w:rsidSect="00097E7D">
          <w:headerReference w:type="default" r:id="rId11"/>
          <w:footerReference w:type="default" r:id="rId12"/>
          <w:pgSz w:w="12240" w:h="15840"/>
          <w:pgMar w:top="1440" w:right="1440" w:bottom="1440" w:left="1440" w:header="720" w:footer="720" w:gutter="0"/>
          <w:cols w:space="720"/>
          <w:docGrid w:linePitch="360"/>
        </w:sectPr>
      </w:pPr>
    </w:p>
    <w:p w14:paraId="485623DB" w14:textId="77777777" w:rsidR="000F7C00" w:rsidRDefault="000F7C00" w:rsidP="000F7C00">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Tables and Figures</w:t>
      </w:r>
    </w:p>
    <w:tbl>
      <w:tblPr>
        <w:tblW w:w="12960" w:type="dxa"/>
        <w:tblLook w:val="04A0" w:firstRow="1" w:lastRow="0" w:firstColumn="1" w:lastColumn="0" w:noHBand="0" w:noVBand="1"/>
      </w:tblPr>
      <w:tblGrid>
        <w:gridCol w:w="4425"/>
        <w:gridCol w:w="1129"/>
        <w:gridCol w:w="1129"/>
        <w:gridCol w:w="1129"/>
        <w:gridCol w:w="1129"/>
        <w:gridCol w:w="1326"/>
        <w:gridCol w:w="1326"/>
        <w:gridCol w:w="1367"/>
      </w:tblGrid>
      <w:tr w:rsidR="000F7C00" w:rsidRPr="007A67E4" w14:paraId="4598B1AE" w14:textId="77777777" w:rsidTr="0018258B">
        <w:trPr>
          <w:trHeight w:val="310"/>
        </w:trPr>
        <w:tc>
          <w:tcPr>
            <w:tcW w:w="12960" w:type="dxa"/>
            <w:gridSpan w:val="8"/>
            <w:tcBorders>
              <w:top w:val="nil"/>
              <w:left w:val="nil"/>
              <w:bottom w:val="single" w:sz="8" w:space="0" w:color="auto"/>
              <w:right w:val="nil"/>
            </w:tcBorders>
            <w:shd w:val="clear" w:color="auto" w:fill="auto"/>
            <w:noWrap/>
            <w:vAlign w:val="center"/>
            <w:hideMark/>
          </w:tcPr>
          <w:p w14:paraId="2BAA76B4" w14:textId="77777777" w:rsidR="000F7C00" w:rsidRPr="007A67E4" w:rsidRDefault="000F7C00" w:rsidP="00211FA3">
            <w:pPr>
              <w:spacing w:after="0" w:line="240" w:lineRule="auto"/>
              <w:rPr>
                <w:rFonts w:ascii="Times New Roman" w:eastAsia="Times New Roman" w:hAnsi="Times New Roman" w:cs="Times New Roman"/>
                <w:b/>
                <w:bCs/>
                <w:color w:val="000000"/>
                <w:sz w:val="24"/>
                <w:szCs w:val="24"/>
              </w:rPr>
            </w:pPr>
            <w:r w:rsidRPr="007A67E4">
              <w:rPr>
                <w:rFonts w:ascii="Times New Roman" w:eastAsia="Times New Roman" w:hAnsi="Times New Roman" w:cs="Times New Roman"/>
                <w:b/>
                <w:bCs/>
                <w:color w:val="000000"/>
                <w:sz w:val="24"/>
                <w:szCs w:val="24"/>
              </w:rPr>
              <w:t xml:space="preserve">Table 1: Summary Statistics by </w:t>
            </w:r>
            <w:r>
              <w:rPr>
                <w:rFonts w:ascii="Times New Roman" w:eastAsia="Times New Roman" w:hAnsi="Times New Roman" w:cs="Times New Roman"/>
                <w:b/>
                <w:bCs/>
                <w:color w:val="000000"/>
                <w:sz w:val="24"/>
                <w:szCs w:val="24"/>
              </w:rPr>
              <w:t>Year and Sample</w:t>
            </w:r>
            <w:r w:rsidRPr="007A67E4">
              <w:rPr>
                <w:rFonts w:ascii="Times New Roman" w:eastAsia="Times New Roman" w:hAnsi="Times New Roman" w:cs="Times New Roman"/>
                <w:b/>
                <w:bCs/>
                <w:color w:val="000000"/>
                <w:sz w:val="24"/>
                <w:szCs w:val="24"/>
              </w:rPr>
              <w:t>: Earnings Percentiles and Inequality Measures</w:t>
            </w:r>
          </w:p>
        </w:tc>
      </w:tr>
      <w:tr w:rsidR="000F7C00" w:rsidRPr="007A67E4" w14:paraId="56D7C855" w14:textId="77777777" w:rsidTr="0018258B">
        <w:trPr>
          <w:trHeight w:val="630"/>
        </w:trPr>
        <w:tc>
          <w:tcPr>
            <w:tcW w:w="4425" w:type="dxa"/>
            <w:tcBorders>
              <w:top w:val="nil"/>
              <w:left w:val="nil"/>
              <w:bottom w:val="single" w:sz="8" w:space="0" w:color="auto"/>
              <w:right w:val="nil"/>
            </w:tcBorders>
            <w:shd w:val="clear" w:color="auto" w:fill="auto"/>
            <w:noWrap/>
            <w:vAlign w:val="center"/>
            <w:hideMark/>
          </w:tcPr>
          <w:p w14:paraId="0DE53555" w14:textId="77777777" w:rsidR="000F7C00" w:rsidRPr="007A67E4" w:rsidRDefault="000F7C00" w:rsidP="00211FA3">
            <w:pPr>
              <w:spacing w:after="0" w:line="240" w:lineRule="auto"/>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Year</w:t>
            </w:r>
          </w:p>
        </w:tc>
        <w:tc>
          <w:tcPr>
            <w:tcW w:w="1129" w:type="dxa"/>
            <w:tcBorders>
              <w:top w:val="nil"/>
              <w:left w:val="nil"/>
              <w:bottom w:val="single" w:sz="8" w:space="0" w:color="auto"/>
              <w:right w:val="nil"/>
            </w:tcBorders>
            <w:shd w:val="clear" w:color="auto" w:fill="auto"/>
            <w:noWrap/>
            <w:vAlign w:val="center"/>
            <w:hideMark/>
          </w:tcPr>
          <w:p w14:paraId="2D3BBE8B" w14:textId="77777777" w:rsidR="000F7C00" w:rsidRPr="007A67E4" w:rsidRDefault="000F7C00" w:rsidP="00211FA3">
            <w:pPr>
              <w:spacing w:after="0" w:line="240" w:lineRule="auto"/>
              <w:jc w:val="center"/>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p10</w:t>
            </w:r>
          </w:p>
        </w:tc>
        <w:tc>
          <w:tcPr>
            <w:tcW w:w="1129" w:type="dxa"/>
            <w:tcBorders>
              <w:top w:val="nil"/>
              <w:left w:val="nil"/>
              <w:bottom w:val="single" w:sz="8" w:space="0" w:color="auto"/>
              <w:right w:val="nil"/>
            </w:tcBorders>
            <w:shd w:val="clear" w:color="auto" w:fill="auto"/>
            <w:noWrap/>
            <w:vAlign w:val="center"/>
            <w:hideMark/>
          </w:tcPr>
          <w:p w14:paraId="6809AAF8" w14:textId="77777777" w:rsidR="000F7C00" w:rsidRPr="007A67E4" w:rsidRDefault="000F7C00" w:rsidP="00211FA3">
            <w:pPr>
              <w:spacing w:after="0" w:line="240" w:lineRule="auto"/>
              <w:jc w:val="center"/>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p25</w:t>
            </w:r>
          </w:p>
        </w:tc>
        <w:tc>
          <w:tcPr>
            <w:tcW w:w="1129" w:type="dxa"/>
            <w:tcBorders>
              <w:top w:val="nil"/>
              <w:left w:val="nil"/>
              <w:bottom w:val="single" w:sz="8" w:space="0" w:color="auto"/>
              <w:right w:val="nil"/>
            </w:tcBorders>
            <w:shd w:val="clear" w:color="auto" w:fill="auto"/>
            <w:noWrap/>
            <w:vAlign w:val="center"/>
            <w:hideMark/>
          </w:tcPr>
          <w:p w14:paraId="55F0C914" w14:textId="77777777" w:rsidR="000F7C00" w:rsidRPr="007A67E4" w:rsidRDefault="000F7C00" w:rsidP="00211FA3">
            <w:pPr>
              <w:spacing w:after="0" w:line="240" w:lineRule="auto"/>
              <w:jc w:val="center"/>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p50</w:t>
            </w:r>
          </w:p>
        </w:tc>
        <w:tc>
          <w:tcPr>
            <w:tcW w:w="1129" w:type="dxa"/>
            <w:tcBorders>
              <w:top w:val="nil"/>
              <w:left w:val="nil"/>
              <w:bottom w:val="single" w:sz="8" w:space="0" w:color="auto"/>
              <w:right w:val="nil"/>
            </w:tcBorders>
            <w:shd w:val="clear" w:color="auto" w:fill="auto"/>
            <w:noWrap/>
            <w:vAlign w:val="center"/>
            <w:hideMark/>
          </w:tcPr>
          <w:p w14:paraId="115EEE11" w14:textId="77777777" w:rsidR="000F7C00" w:rsidRPr="007A67E4" w:rsidRDefault="000F7C00" w:rsidP="00211FA3">
            <w:pPr>
              <w:spacing w:after="0" w:line="240" w:lineRule="auto"/>
              <w:jc w:val="center"/>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p75</w:t>
            </w:r>
          </w:p>
        </w:tc>
        <w:tc>
          <w:tcPr>
            <w:tcW w:w="1326" w:type="dxa"/>
            <w:tcBorders>
              <w:top w:val="nil"/>
              <w:left w:val="nil"/>
              <w:bottom w:val="single" w:sz="8" w:space="0" w:color="auto"/>
              <w:right w:val="nil"/>
            </w:tcBorders>
            <w:shd w:val="clear" w:color="auto" w:fill="auto"/>
            <w:noWrap/>
            <w:vAlign w:val="center"/>
            <w:hideMark/>
          </w:tcPr>
          <w:p w14:paraId="01DFC7F0" w14:textId="77777777" w:rsidR="000F7C00" w:rsidRPr="007A67E4" w:rsidRDefault="000F7C00" w:rsidP="00211FA3">
            <w:pPr>
              <w:spacing w:after="0" w:line="240" w:lineRule="auto"/>
              <w:jc w:val="center"/>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p90</w:t>
            </w:r>
          </w:p>
        </w:tc>
        <w:tc>
          <w:tcPr>
            <w:tcW w:w="1326" w:type="dxa"/>
            <w:tcBorders>
              <w:top w:val="nil"/>
              <w:left w:val="nil"/>
              <w:bottom w:val="single" w:sz="8" w:space="0" w:color="auto"/>
              <w:right w:val="nil"/>
            </w:tcBorders>
            <w:shd w:val="clear" w:color="auto" w:fill="auto"/>
            <w:noWrap/>
            <w:vAlign w:val="center"/>
            <w:hideMark/>
          </w:tcPr>
          <w:p w14:paraId="0105F9CA" w14:textId="77777777" w:rsidR="000F7C00" w:rsidRPr="007A67E4" w:rsidRDefault="000F7C00" w:rsidP="00211FA3">
            <w:pPr>
              <w:spacing w:after="0" w:line="240" w:lineRule="auto"/>
              <w:jc w:val="center"/>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p99</w:t>
            </w:r>
          </w:p>
        </w:tc>
        <w:tc>
          <w:tcPr>
            <w:tcW w:w="1367" w:type="dxa"/>
            <w:tcBorders>
              <w:top w:val="nil"/>
              <w:left w:val="nil"/>
              <w:bottom w:val="single" w:sz="8" w:space="0" w:color="auto"/>
              <w:right w:val="nil"/>
            </w:tcBorders>
            <w:shd w:val="clear" w:color="auto" w:fill="auto"/>
            <w:vAlign w:val="bottom"/>
            <w:hideMark/>
          </w:tcPr>
          <w:p w14:paraId="5D4C6551" w14:textId="77777777" w:rsidR="000F7C00" w:rsidRPr="007A67E4" w:rsidRDefault="000F7C00" w:rsidP="00211FA3">
            <w:pPr>
              <w:spacing w:after="0" w:line="240" w:lineRule="auto"/>
              <w:jc w:val="center"/>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Gini Coefficient</w:t>
            </w:r>
          </w:p>
        </w:tc>
      </w:tr>
      <w:tr w:rsidR="000F7C00" w:rsidRPr="007A67E4" w14:paraId="08523C89" w14:textId="77777777" w:rsidTr="0018258B">
        <w:trPr>
          <w:trHeight w:val="100"/>
        </w:trPr>
        <w:tc>
          <w:tcPr>
            <w:tcW w:w="4425" w:type="dxa"/>
            <w:tcBorders>
              <w:top w:val="nil"/>
              <w:left w:val="nil"/>
              <w:bottom w:val="nil"/>
              <w:right w:val="nil"/>
            </w:tcBorders>
            <w:shd w:val="clear" w:color="auto" w:fill="auto"/>
            <w:noWrap/>
            <w:vAlign w:val="center"/>
            <w:hideMark/>
          </w:tcPr>
          <w:p w14:paraId="2F2D51E7" w14:textId="77777777" w:rsidR="000F7C00" w:rsidRPr="007A67E4" w:rsidRDefault="000F7C00" w:rsidP="00211FA3">
            <w:pPr>
              <w:spacing w:after="0" w:line="240" w:lineRule="auto"/>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 </w:t>
            </w:r>
          </w:p>
        </w:tc>
        <w:tc>
          <w:tcPr>
            <w:tcW w:w="1129" w:type="dxa"/>
            <w:tcBorders>
              <w:top w:val="nil"/>
              <w:left w:val="nil"/>
              <w:bottom w:val="nil"/>
              <w:right w:val="nil"/>
            </w:tcBorders>
            <w:shd w:val="clear" w:color="auto" w:fill="auto"/>
            <w:noWrap/>
            <w:vAlign w:val="center"/>
            <w:hideMark/>
          </w:tcPr>
          <w:p w14:paraId="78ABC968" w14:textId="77777777" w:rsidR="000F7C00" w:rsidRPr="007A67E4" w:rsidRDefault="000F7C00" w:rsidP="00211FA3">
            <w:pPr>
              <w:spacing w:after="0" w:line="240" w:lineRule="auto"/>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 </w:t>
            </w:r>
          </w:p>
        </w:tc>
        <w:tc>
          <w:tcPr>
            <w:tcW w:w="1129" w:type="dxa"/>
            <w:tcBorders>
              <w:top w:val="nil"/>
              <w:left w:val="nil"/>
              <w:bottom w:val="nil"/>
              <w:right w:val="nil"/>
            </w:tcBorders>
            <w:shd w:val="clear" w:color="auto" w:fill="auto"/>
            <w:noWrap/>
            <w:vAlign w:val="center"/>
            <w:hideMark/>
          </w:tcPr>
          <w:p w14:paraId="715A875A" w14:textId="77777777" w:rsidR="000F7C00" w:rsidRPr="007A67E4" w:rsidRDefault="000F7C00" w:rsidP="00211FA3">
            <w:pPr>
              <w:spacing w:after="0" w:line="240" w:lineRule="auto"/>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 </w:t>
            </w:r>
          </w:p>
        </w:tc>
        <w:tc>
          <w:tcPr>
            <w:tcW w:w="1129" w:type="dxa"/>
            <w:tcBorders>
              <w:top w:val="nil"/>
              <w:left w:val="nil"/>
              <w:bottom w:val="nil"/>
              <w:right w:val="nil"/>
            </w:tcBorders>
            <w:shd w:val="clear" w:color="auto" w:fill="auto"/>
            <w:noWrap/>
            <w:vAlign w:val="center"/>
            <w:hideMark/>
          </w:tcPr>
          <w:p w14:paraId="3907692E" w14:textId="77777777" w:rsidR="000F7C00" w:rsidRPr="007A67E4" w:rsidRDefault="000F7C00" w:rsidP="00211FA3">
            <w:pPr>
              <w:spacing w:after="0" w:line="240" w:lineRule="auto"/>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 </w:t>
            </w:r>
          </w:p>
        </w:tc>
        <w:tc>
          <w:tcPr>
            <w:tcW w:w="1129" w:type="dxa"/>
            <w:tcBorders>
              <w:top w:val="nil"/>
              <w:left w:val="nil"/>
              <w:bottom w:val="nil"/>
              <w:right w:val="nil"/>
            </w:tcBorders>
            <w:shd w:val="clear" w:color="auto" w:fill="auto"/>
            <w:noWrap/>
            <w:vAlign w:val="center"/>
            <w:hideMark/>
          </w:tcPr>
          <w:p w14:paraId="6C5AC953" w14:textId="77777777" w:rsidR="000F7C00" w:rsidRPr="007A67E4" w:rsidRDefault="000F7C00" w:rsidP="00211FA3">
            <w:pPr>
              <w:spacing w:after="0" w:line="240" w:lineRule="auto"/>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 </w:t>
            </w:r>
          </w:p>
        </w:tc>
        <w:tc>
          <w:tcPr>
            <w:tcW w:w="1326" w:type="dxa"/>
            <w:tcBorders>
              <w:top w:val="nil"/>
              <w:left w:val="nil"/>
              <w:bottom w:val="nil"/>
              <w:right w:val="nil"/>
            </w:tcBorders>
            <w:shd w:val="clear" w:color="auto" w:fill="auto"/>
            <w:noWrap/>
            <w:vAlign w:val="center"/>
            <w:hideMark/>
          </w:tcPr>
          <w:p w14:paraId="71EA5728" w14:textId="77777777" w:rsidR="000F7C00" w:rsidRPr="007A67E4" w:rsidRDefault="000F7C00" w:rsidP="00211FA3">
            <w:pPr>
              <w:spacing w:after="0" w:line="240" w:lineRule="auto"/>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 </w:t>
            </w:r>
          </w:p>
        </w:tc>
        <w:tc>
          <w:tcPr>
            <w:tcW w:w="1326" w:type="dxa"/>
            <w:tcBorders>
              <w:top w:val="nil"/>
              <w:left w:val="nil"/>
              <w:bottom w:val="nil"/>
              <w:right w:val="nil"/>
            </w:tcBorders>
            <w:shd w:val="clear" w:color="auto" w:fill="auto"/>
            <w:noWrap/>
            <w:vAlign w:val="center"/>
            <w:hideMark/>
          </w:tcPr>
          <w:p w14:paraId="461E89D9" w14:textId="77777777" w:rsidR="000F7C00" w:rsidRPr="007A67E4" w:rsidRDefault="000F7C00" w:rsidP="00211FA3">
            <w:pPr>
              <w:spacing w:after="0" w:line="240" w:lineRule="auto"/>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 </w:t>
            </w:r>
          </w:p>
        </w:tc>
        <w:tc>
          <w:tcPr>
            <w:tcW w:w="1367" w:type="dxa"/>
            <w:tcBorders>
              <w:top w:val="nil"/>
              <w:left w:val="nil"/>
              <w:bottom w:val="nil"/>
              <w:right w:val="nil"/>
            </w:tcBorders>
            <w:shd w:val="clear" w:color="auto" w:fill="auto"/>
            <w:noWrap/>
            <w:vAlign w:val="bottom"/>
            <w:hideMark/>
          </w:tcPr>
          <w:p w14:paraId="1C9B2E77" w14:textId="77777777" w:rsidR="000F7C00" w:rsidRPr="007A67E4" w:rsidRDefault="000F7C00" w:rsidP="00211FA3">
            <w:pPr>
              <w:spacing w:after="0" w:line="240" w:lineRule="auto"/>
              <w:rPr>
                <w:rFonts w:ascii="Times New Roman" w:eastAsia="Times New Roman" w:hAnsi="Times New Roman" w:cs="Times New Roman"/>
                <w:color w:val="000000"/>
                <w:sz w:val="24"/>
                <w:szCs w:val="24"/>
              </w:rPr>
            </w:pPr>
          </w:p>
        </w:tc>
      </w:tr>
      <w:tr w:rsidR="000F7C00" w:rsidRPr="007A67E4" w14:paraId="6AC46B28" w14:textId="77777777" w:rsidTr="0018258B">
        <w:trPr>
          <w:trHeight w:val="300"/>
        </w:trPr>
        <w:tc>
          <w:tcPr>
            <w:tcW w:w="12960" w:type="dxa"/>
            <w:gridSpan w:val="8"/>
            <w:tcBorders>
              <w:top w:val="nil"/>
              <w:left w:val="nil"/>
              <w:bottom w:val="nil"/>
              <w:right w:val="nil"/>
            </w:tcBorders>
            <w:shd w:val="clear" w:color="auto" w:fill="auto"/>
            <w:noWrap/>
            <w:vAlign w:val="center"/>
            <w:hideMark/>
          </w:tcPr>
          <w:p w14:paraId="55E91B2D" w14:textId="77777777" w:rsidR="000F7C00" w:rsidRPr="007A67E4" w:rsidRDefault="000F7C00" w:rsidP="00211FA3">
            <w:pPr>
              <w:spacing w:after="0" w:line="240" w:lineRule="auto"/>
              <w:jc w:val="center"/>
              <w:rPr>
                <w:rFonts w:ascii="Times New Roman" w:eastAsia="Times New Roman" w:hAnsi="Times New Roman" w:cs="Times New Roman"/>
                <w:b/>
                <w:bCs/>
                <w:color w:val="000000"/>
                <w:sz w:val="24"/>
                <w:szCs w:val="24"/>
              </w:rPr>
            </w:pPr>
            <w:r w:rsidRPr="007A67E4">
              <w:rPr>
                <w:rFonts w:ascii="Times New Roman" w:eastAsia="Times New Roman" w:hAnsi="Times New Roman" w:cs="Times New Roman"/>
                <w:b/>
                <w:bCs/>
                <w:color w:val="000000"/>
                <w:sz w:val="24"/>
                <w:szCs w:val="24"/>
              </w:rPr>
              <w:t>Panel A: 1979</w:t>
            </w:r>
          </w:p>
        </w:tc>
      </w:tr>
      <w:tr w:rsidR="000F7C00" w:rsidRPr="007A67E4" w14:paraId="38B6BF0C" w14:textId="77777777" w:rsidTr="0018258B">
        <w:trPr>
          <w:trHeight w:val="310"/>
        </w:trPr>
        <w:tc>
          <w:tcPr>
            <w:tcW w:w="4425" w:type="dxa"/>
            <w:tcBorders>
              <w:top w:val="nil"/>
              <w:left w:val="nil"/>
              <w:bottom w:val="nil"/>
              <w:right w:val="nil"/>
            </w:tcBorders>
            <w:shd w:val="clear" w:color="auto" w:fill="auto"/>
            <w:noWrap/>
            <w:vAlign w:val="center"/>
            <w:hideMark/>
          </w:tcPr>
          <w:p w14:paraId="0C4FC742" w14:textId="77777777" w:rsidR="000F7C00" w:rsidRPr="007A67E4" w:rsidRDefault="000F7C00" w:rsidP="00211FA3">
            <w:pPr>
              <w:spacing w:after="0" w:line="240" w:lineRule="auto"/>
              <w:rPr>
                <w:rFonts w:ascii="Times New Roman" w:eastAsia="Times New Roman" w:hAnsi="Times New Roman" w:cs="Times New Roman"/>
                <w:i/>
                <w:iCs/>
                <w:color w:val="000000"/>
                <w:sz w:val="24"/>
                <w:szCs w:val="24"/>
              </w:rPr>
            </w:pPr>
            <w:r w:rsidRPr="007A67E4">
              <w:rPr>
                <w:rFonts w:ascii="Times New Roman" w:eastAsia="Times New Roman" w:hAnsi="Times New Roman" w:cs="Times New Roman"/>
                <w:i/>
                <w:iCs/>
                <w:color w:val="000000"/>
                <w:sz w:val="24"/>
                <w:szCs w:val="24"/>
              </w:rPr>
              <w:t>Full-time, full-year workers</w:t>
            </w:r>
          </w:p>
        </w:tc>
        <w:tc>
          <w:tcPr>
            <w:tcW w:w="1129" w:type="dxa"/>
            <w:tcBorders>
              <w:top w:val="nil"/>
              <w:left w:val="nil"/>
              <w:bottom w:val="nil"/>
              <w:right w:val="nil"/>
            </w:tcBorders>
            <w:shd w:val="clear" w:color="auto" w:fill="auto"/>
            <w:noWrap/>
            <w:vAlign w:val="center"/>
            <w:hideMark/>
          </w:tcPr>
          <w:p w14:paraId="6B9BEDD7" w14:textId="77777777" w:rsidR="000F7C00" w:rsidRPr="007A67E4" w:rsidRDefault="000F7C00" w:rsidP="00211FA3">
            <w:pPr>
              <w:spacing w:after="0" w:line="240" w:lineRule="auto"/>
              <w:rPr>
                <w:rFonts w:ascii="Times New Roman" w:eastAsia="Times New Roman" w:hAnsi="Times New Roman" w:cs="Times New Roman"/>
                <w:i/>
                <w:iCs/>
                <w:color w:val="000000"/>
                <w:sz w:val="24"/>
                <w:szCs w:val="24"/>
              </w:rPr>
            </w:pPr>
          </w:p>
        </w:tc>
        <w:tc>
          <w:tcPr>
            <w:tcW w:w="1129" w:type="dxa"/>
            <w:tcBorders>
              <w:top w:val="nil"/>
              <w:left w:val="nil"/>
              <w:bottom w:val="nil"/>
              <w:right w:val="nil"/>
            </w:tcBorders>
            <w:shd w:val="clear" w:color="auto" w:fill="auto"/>
            <w:noWrap/>
            <w:vAlign w:val="center"/>
            <w:hideMark/>
          </w:tcPr>
          <w:p w14:paraId="58003A27" w14:textId="77777777" w:rsidR="000F7C00" w:rsidRPr="007A67E4" w:rsidRDefault="000F7C00" w:rsidP="00211FA3">
            <w:pPr>
              <w:spacing w:after="0" w:line="240" w:lineRule="auto"/>
              <w:rPr>
                <w:rFonts w:ascii="Times New Roman" w:eastAsia="Times New Roman" w:hAnsi="Times New Roman" w:cs="Times New Roman"/>
                <w:sz w:val="20"/>
                <w:szCs w:val="20"/>
              </w:rPr>
            </w:pPr>
          </w:p>
        </w:tc>
        <w:tc>
          <w:tcPr>
            <w:tcW w:w="1129" w:type="dxa"/>
            <w:tcBorders>
              <w:top w:val="nil"/>
              <w:left w:val="nil"/>
              <w:bottom w:val="nil"/>
              <w:right w:val="nil"/>
            </w:tcBorders>
            <w:shd w:val="clear" w:color="auto" w:fill="auto"/>
            <w:noWrap/>
            <w:vAlign w:val="center"/>
            <w:hideMark/>
          </w:tcPr>
          <w:p w14:paraId="1BC3DD7C" w14:textId="77777777" w:rsidR="000F7C00" w:rsidRPr="007A67E4" w:rsidRDefault="000F7C00" w:rsidP="00211FA3">
            <w:pPr>
              <w:spacing w:after="0" w:line="240" w:lineRule="auto"/>
              <w:rPr>
                <w:rFonts w:ascii="Times New Roman" w:eastAsia="Times New Roman" w:hAnsi="Times New Roman" w:cs="Times New Roman"/>
                <w:sz w:val="20"/>
                <w:szCs w:val="20"/>
              </w:rPr>
            </w:pPr>
          </w:p>
        </w:tc>
        <w:tc>
          <w:tcPr>
            <w:tcW w:w="1129" w:type="dxa"/>
            <w:tcBorders>
              <w:top w:val="nil"/>
              <w:left w:val="nil"/>
              <w:bottom w:val="nil"/>
              <w:right w:val="nil"/>
            </w:tcBorders>
            <w:shd w:val="clear" w:color="auto" w:fill="auto"/>
            <w:noWrap/>
            <w:vAlign w:val="center"/>
            <w:hideMark/>
          </w:tcPr>
          <w:p w14:paraId="4414A66D" w14:textId="77777777" w:rsidR="000F7C00" w:rsidRPr="007A67E4" w:rsidRDefault="000F7C00" w:rsidP="00211FA3">
            <w:pPr>
              <w:spacing w:after="0" w:line="240" w:lineRule="auto"/>
              <w:rPr>
                <w:rFonts w:ascii="Times New Roman" w:eastAsia="Times New Roman" w:hAnsi="Times New Roman" w:cs="Times New Roman"/>
                <w:sz w:val="20"/>
                <w:szCs w:val="20"/>
              </w:rPr>
            </w:pPr>
          </w:p>
        </w:tc>
        <w:tc>
          <w:tcPr>
            <w:tcW w:w="1326" w:type="dxa"/>
            <w:tcBorders>
              <w:top w:val="nil"/>
              <w:left w:val="nil"/>
              <w:bottom w:val="nil"/>
              <w:right w:val="nil"/>
            </w:tcBorders>
            <w:shd w:val="clear" w:color="auto" w:fill="auto"/>
            <w:noWrap/>
            <w:vAlign w:val="center"/>
            <w:hideMark/>
          </w:tcPr>
          <w:p w14:paraId="67418F44" w14:textId="77777777" w:rsidR="000F7C00" w:rsidRPr="007A67E4" w:rsidRDefault="000F7C00" w:rsidP="00211FA3">
            <w:pPr>
              <w:spacing w:after="0" w:line="240" w:lineRule="auto"/>
              <w:rPr>
                <w:rFonts w:ascii="Times New Roman" w:eastAsia="Times New Roman" w:hAnsi="Times New Roman" w:cs="Times New Roman"/>
                <w:sz w:val="20"/>
                <w:szCs w:val="20"/>
              </w:rPr>
            </w:pPr>
          </w:p>
        </w:tc>
        <w:tc>
          <w:tcPr>
            <w:tcW w:w="1326" w:type="dxa"/>
            <w:tcBorders>
              <w:top w:val="nil"/>
              <w:left w:val="nil"/>
              <w:bottom w:val="nil"/>
              <w:right w:val="nil"/>
            </w:tcBorders>
            <w:shd w:val="clear" w:color="auto" w:fill="auto"/>
            <w:noWrap/>
            <w:vAlign w:val="center"/>
            <w:hideMark/>
          </w:tcPr>
          <w:p w14:paraId="59222494" w14:textId="77777777" w:rsidR="000F7C00" w:rsidRPr="007A67E4" w:rsidRDefault="000F7C00" w:rsidP="00211FA3">
            <w:pPr>
              <w:spacing w:after="0" w:line="240" w:lineRule="auto"/>
              <w:rPr>
                <w:rFonts w:ascii="Times New Roman" w:eastAsia="Times New Roman" w:hAnsi="Times New Roman" w:cs="Times New Roman"/>
                <w:sz w:val="20"/>
                <w:szCs w:val="20"/>
              </w:rPr>
            </w:pPr>
          </w:p>
        </w:tc>
        <w:tc>
          <w:tcPr>
            <w:tcW w:w="1367" w:type="dxa"/>
            <w:tcBorders>
              <w:top w:val="nil"/>
              <w:left w:val="nil"/>
              <w:bottom w:val="nil"/>
              <w:right w:val="nil"/>
            </w:tcBorders>
            <w:shd w:val="clear" w:color="auto" w:fill="auto"/>
            <w:noWrap/>
            <w:vAlign w:val="bottom"/>
            <w:hideMark/>
          </w:tcPr>
          <w:p w14:paraId="0DE22BCB" w14:textId="77777777" w:rsidR="000F7C00" w:rsidRPr="007A67E4" w:rsidRDefault="000F7C00" w:rsidP="00211FA3">
            <w:pPr>
              <w:spacing w:after="0" w:line="240" w:lineRule="auto"/>
              <w:rPr>
                <w:rFonts w:ascii="Times New Roman" w:eastAsia="Times New Roman" w:hAnsi="Times New Roman" w:cs="Times New Roman"/>
                <w:sz w:val="20"/>
                <w:szCs w:val="20"/>
              </w:rPr>
            </w:pPr>
          </w:p>
        </w:tc>
      </w:tr>
      <w:tr w:rsidR="000F7C00" w:rsidRPr="007A67E4" w14:paraId="648291D4" w14:textId="77777777" w:rsidTr="0018258B">
        <w:trPr>
          <w:trHeight w:val="310"/>
        </w:trPr>
        <w:tc>
          <w:tcPr>
            <w:tcW w:w="4425" w:type="dxa"/>
            <w:tcBorders>
              <w:top w:val="nil"/>
              <w:left w:val="nil"/>
              <w:bottom w:val="nil"/>
              <w:right w:val="nil"/>
            </w:tcBorders>
            <w:shd w:val="clear" w:color="auto" w:fill="auto"/>
            <w:noWrap/>
            <w:vAlign w:val="center"/>
            <w:hideMark/>
          </w:tcPr>
          <w:p w14:paraId="55CC00F5" w14:textId="77777777" w:rsidR="000F7C00" w:rsidRPr="007A67E4" w:rsidRDefault="000F7C00" w:rsidP="00211FA3">
            <w:pPr>
              <w:spacing w:after="0" w:line="240" w:lineRule="auto"/>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 xml:space="preserve">     Men and women</w:t>
            </w:r>
          </w:p>
        </w:tc>
        <w:tc>
          <w:tcPr>
            <w:tcW w:w="1129" w:type="dxa"/>
            <w:tcBorders>
              <w:top w:val="nil"/>
              <w:left w:val="nil"/>
              <w:bottom w:val="nil"/>
              <w:right w:val="nil"/>
            </w:tcBorders>
            <w:shd w:val="clear" w:color="auto" w:fill="auto"/>
            <w:noWrap/>
            <w:vAlign w:val="center"/>
            <w:hideMark/>
          </w:tcPr>
          <w:p w14:paraId="0E4D896E"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17,482</w:t>
            </w:r>
          </w:p>
        </w:tc>
        <w:tc>
          <w:tcPr>
            <w:tcW w:w="1129" w:type="dxa"/>
            <w:tcBorders>
              <w:top w:val="nil"/>
              <w:left w:val="nil"/>
              <w:bottom w:val="nil"/>
              <w:right w:val="nil"/>
            </w:tcBorders>
            <w:shd w:val="clear" w:color="auto" w:fill="auto"/>
            <w:noWrap/>
            <w:vAlign w:val="center"/>
            <w:hideMark/>
          </w:tcPr>
          <w:p w14:paraId="4F9DECF1"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27,579</w:t>
            </w:r>
          </w:p>
        </w:tc>
        <w:tc>
          <w:tcPr>
            <w:tcW w:w="1129" w:type="dxa"/>
            <w:tcBorders>
              <w:top w:val="nil"/>
              <w:left w:val="nil"/>
              <w:bottom w:val="nil"/>
              <w:right w:val="nil"/>
            </w:tcBorders>
            <w:shd w:val="clear" w:color="auto" w:fill="auto"/>
            <w:noWrap/>
            <w:vAlign w:val="center"/>
            <w:hideMark/>
          </w:tcPr>
          <w:p w14:paraId="7897CB4A"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41,206</w:t>
            </w:r>
          </w:p>
        </w:tc>
        <w:tc>
          <w:tcPr>
            <w:tcW w:w="1129" w:type="dxa"/>
            <w:tcBorders>
              <w:top w:val="nil"/>
              <w:left w:val="nil"/>
              <w:bottom w:val="nil"/>
              <w:right w:val="nil"/>
            </w:tcBorders>
            <w:shd w:val="clear" w:color="auto" w:fill="auto"/>
            <w:noWrap/>
            <w:vAlign w:val="center"/>
            <w:hideMark/>
          </w:tcPr>
          <w:p w14:paraId="725ECBBE"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58,062</w:t>
            </w:r>
          </w:p>
        </w:tc>
        <w:tc>
          <w:tcPr>
            <w:tcW w:w="1326" w:type="dxa"/>
            <w:tcBorders>
              <w:top w:val="nil"/>
              <w:left w:val="nil"/>
              <w:bottom w:val="nil"/>
              <w:right w:val="nil"/>
            </w:tcBorders>
            <w:shd w:val="clear" w:color="auto" w:fill="auto"/>
            <w:noWrap/>
            <w:vAlign w:val="center"/>
            <w:hideMark/>
          </w:tcPr>
          <w:p w14:paraId="39BB2D96"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80,868</w:t>
            </w:r>
          </w:p>
        </w:tc>
        <w:tc>
          <w:tcPr>
            <w:tcW w:w="1326" w:type="dxa"/>
            <w:tcBorders>
              <w:top w:val="nil"/>
              <w:left w:val="nil"/>
              <w:bottom w:val="nil"/>
              <w:right w:val="nil"/>
            </w:tcBorders>
            <w:shd w:val="clear" w:color="auto" w:fill="auto"/>
            <w:noWrap/>
            <w:vAlign w:val="center"/>
            <w:hideMark/>
          </w:tcPr>
          <w:p w14:paraId="5CD0AD2E"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174,185</w:t>
            </w:r>
          </w:p>
        </w:tc>
        <w:tc>
          <w:tcPr>
            <w:tcW w:w="1367" w:type="dxa"/>
            <w:tcBorders>
              <w:top w:val="nil"/>
              <w:left w:val="nil"/>
              <w:bottom w:val="nil"/>
              <w:right w:val="nil"/>
            </w:tcBorders>
            <w:shd w:val="clear" w:color="auto" w:fill="auto"/>
            <w:noWrap/>
            <w:vAlign w:val="bottom"/>
            <w:hideMark/>
          </w:tcPr>
          <w:p w14:paraId="4C90A7CF"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0.332</w:t>
            </w:r>
          </w:p>
        </w:tc>
      </w:tr>
      <w:tr w:rsidR="000F7C00" w:rsidRPr="007A67E4" w14:paraId="51BCEB1D" w14:textId="77777777" w:rsidTr="0018258B">
        <w:trPr>
          <w:trHeight w:val="310"/>
        </w:trPr>
        <w:tc>
          <w:tcPr>
            <w:tcW w:w="4425" w:type="dxa"/>
            <w:tcBorders>
              <w:top w:val="nil"/>
              <w:left w:val="nil"/>
              <w:bottom w:val="nil"/>
              <w:right w:val="nil"/>
            </w:tcBorders>
            <w:shd w:val="clear" w:color="auto" w:fill="auto"/>
            <w:noWrap/>
            <w:vAlign w:val="center"/>
            <w:hideMark/>
          </w:tcPr>
          <w:p w14:paraId="002165DC" w14:textId="77777777" w:rsidR="000F7C00" w:rsidRPr="007A67E4" w:rsidRDefault="000F7C00" w:rsidP="00211FA3">
            <w:pPr>
              <w:spacing w:after="0" w:line="240" w:lineRule="auto"/>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 xml:space="preserve">     Men</w:t>
            </w:r>
          </w:p>
        </w:tc>
        <w:tc>
          <w:tcPr>
            <w:tcW w:w="1129" w:type="dxa"/>
            <w:tcBorders>
              <w:top w:val="nil"/>
              <w:left w:val="nil"/>
              <w:bottom w:val="nil"/>
              <w:right w:val="nil"/>
            </w:tcBorders>
            <w:shd w:val="clear" w:color="auto" w:fill="auto"/>
            <w:noWrap/>
            <w:vAlign w:val="center"/>
            <w:hideMark/>
          </w:tcPr>
          <w:p w14:paraId="1C4D555B"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22,934</w:t>
            </w:r>
          </w:p>
        </w:tc>
        <w:tc>
          <w:tcPr>
            <w:tcW w:w="1129" w:type="dxa"/>
            <w:tcBorders>
              <w:top w:val="nil"/>
              <w:left w:val="nil"/>
              <w:bottom w:val="nil"/>
              <w:right w:val="nil"/>
            </w:tcBorders>
            <w:shd w:val="clear" w:color="auto" w:fill="auto"/>
            <w:noWrap/>
            <w:vAlign w:val="center"/>
            <w:hideMark/>
          </w:tcPr>
          <w:p w14:paraId="5DD052E2"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34,837</w:t>
            </w:r>
          </w:p>
        </w:tc>
        <w:tc>
          <w:tcPr>
            <w:tcW w:w="1129" w:type="dxa"/>
            <w:tcBorders>
              <w:top w:val="nil"/>
              <w:left w:val="nil"/>
              <w:bottom w:val="nil"/>
              <w:right w:val="nil"/>
            </w:tcBorders>
            <w:shd w:val="clear" w:color="auto" w:fill="auto"/>
            <w:noWrap/>
            <w:vAlign w:val="center"/>
            <w:hideMark/>
          </w:tcPr>
          <w:p w14:paraId="1C0893A0"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50,514</w:t>
            </w:r>
          </w:p>
        </w:tc>
        <w:tc>
          <w:tcPr>
            <w:tcW w:w="1129" w:type="dxa"/>
            <w:tcBorders>
              <w:top w:val="nil"/>
              <w:left w:val="nil"/>
              <w:bottom w:val="nil"/>
              <w:right w:val="nil"/>
            </w:tcBorders>
            <w:shd w:val="clear" w:color="auto" w:fill="auto"/>
            <w:noWrap/>
            <w:vAlign w:val="center"/>
            <w:hideMark/>
          </w:tcPr>
          <w:p w14:paraId="10142DB4"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67,642</w:t>
            </w:r>
          </w:p>
        </w:tc>
        <w:tc>
          <w:tcPr>
            <w:tcW w:w="1326" w:type="dxa"/>
            <w:tcBorders>
              <w:top w:val="nil"/>
              <w:left w:val="nil"/>
              <w:bottom w:val="nil"/>
              <w:right w:val="nil"/>
            </w:tcBorders>
            <w:shd w:val="clear" w:color="auto" w:fill="auto"/>
            <w:noWrap/>
            <w:vAlign w:val="center"/>
            <w:hideMark/>
          </w:tcPr>
          <w:p w14:paraId="712A1E4A"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88,544</w:t>
            </w:r>
          </w:p>
        </w:tc>
        <w:tc>
          <w:tcPr>
            <w:tcW w:w="1326" w:type="dxa"/>
            <w:tcBorders>
              <w:top w:val="nil"/>
              <w:left w:val="nil"/>
              <w:bottom w:val="nil"/>
              <w:right w:val="nil"/>
            </w:tcBorders>
            <w:shd w:val="clear" w:color="auto" w:fill="auto"/>
            <w:noWrap/>
            <w:vAlign w:val="center"/>
            <w:hideMark/>
          </w:tcPr>
          <w:p w14:paraId="77D8FD28"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203,216</w:t>
            </w:r>
          </w:p>
        </w:tc>
        <w:tc>
          <w:tcPr>
            <w:tcW w:w="1367" w:type="dxa"/>
            <w:tcBorders>
              <w:top w:val="nil"/>
              <w:left w:val="nil"/>
              <w:bottom w:val="nil"/>
              <w:right w:val="nil"/>
            </w:tcBorders>
            <w:shd w:val="clear" w:color="auto" w:fill="auto"/>
            <w:noWrap/>
            <w:vAlign w:val="bottom"/>
            <w:hideMark/>
          </w:tcPr>
          <w:p w14:paraId="5A74E689"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0.310</w:t>
            </w:r>
          </w:p>
        </w:tc>
      </w:tr>
      <w:tr w:rsidR="000F7C00" w:rsidRPr="007A67E4" w14:paraId="1AD40753" w14:textId="77777777" w:rsidTr="0018258B">
        <w:trPr>
          <w:trHeight w:val="310"/>
        </w:trPr>
        <w:tc>
          <w:tcPr>
            <w:tcW w:w="4425" w:type="dxa"/>
            <w:tcBorders>
              <w:top w:val="nil"/>
              <w:left w:val="nil"/>
              <w:bottom w:val="nil"/>
              <w:right w:val="nil"/>
            </w:tcBorders>
            <w:shd w:val="clear" w:color="auto" w:fill="auto"/>
            <w:noWrap/>
            <w:vAlign w:val="center"/>
            <w:hideMark/>
          </w:tcPr>
          <w:p w14:paraId="57948D1A" w14:textId="77777777" w:rsidR="000F7C00" w:rsidRPr="007A67E4" w:rsidRDefault="000F7C00" w:rsidP="00211FA3">
            <w:pPr>
              <w:spacing w:after="0" w:line="240" w:lineRule="auto"/>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 xml:space="preserve">     Women</w:t>
            </w:r>
          </w:p>
        </w:tc>
        <w:tc>
          <w:tcPr>
            <w:tcW w:w="1129" w:type="dxa"/>
            <w:tcBorders>
              <w:top w:val="nil"/>
              <w:left w:val="nil"/>
              <w:bottom w:val="nil"/>
              <w:right w:val="nil"/>
            </w:tcBorders>
            <w:shd w:val="clear" w:color="auto" w:fill="auto"/>
            <w:noWrap/>
            <w:vAlign w:val="center"/>
            <w:hideMark/>
          </w:tcPr>
          <w:p w14:paraId="78F608EA"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14,515</w:t>
            </w:r>
          </w:p>
        </w:tc>
        <w:tc>
          <w:tcPr>
            <w:tcW w:w="1129" w:type="dxa"/>
            <w:tcBorders>
              <w:top w:val="nil"/>
              <w:left w:val="nil"/>
              <w:bottom w:val="nil"/>
              <w:right w:val="nil"/>
            </w:tcBorders>
            <w:shd w:val="clear" w:color="auto" w:fill="auto"/>
            <w:noWrap/>
            <w:vAlign w:val="center"/>
            <w:hideMark/>
          </w:tcPr>
          <w:p w14:paraId="11C0FD7C"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21,007</w:t>
            </w:r>
          </w:p>
        </w:tc>
        <w:tc>
          <w:tcPr>
            <w:tcW w:w="1129" w:type="dxa"/>
            <w:tcBorders>
              <w:top w:val="nil"/>
              <w:left w:val="nil"/>
              <w:bottom w:val="nil"/>
              <w:right w:val="nil"/>
            </w:tcBorders>
            <w:shd w:val="clear" w:color="auto" w:fill="auto"/>
            <w:noWrap/>
            <w:vAlign w:val="center"/>
            <w:hideMark/>
          </w:tcPr>
          <w:p w14:paraId="33C936EB"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29,031</w:t>
            </w:r>
          </w:p>
        </w:tc>
        <w:tc>
          <w:tcPr>
            <w:tcW w:w="1129" w:type="dxa"/>
            <w:tcBorders>
              <w:top w:val="nil"/>
              <w:left w:val="nil"/>
              <w:bottom w:val="nil"/>
              <w:right w:val="nil"/>
            </w:tcBorders>
            <w:shd w:val="clear" w:color="auto" w:fill="auto"/>
            <w:noWrap/>
            <w:vAlign w:val="center"/>
            <w:hideMark/>
          </w:tcPr>
          <w:p w14:paraId="494CAA0A"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40,170</w:t>
            </w:r>
          </w:p>
        </w:tc>
        <w:tc>
          <w:tcPr>
            <w:tcW w:w="1326" w:type="dxa"/>
            <w:tcBorders>
              <w:top w:val="nil"/>
              <w:left w:val="nil"/>
              <w:bottom w:val="nil"/>
              <w:right w:val="nil"/>
            </w:tcBorders>
            <w:shd w:val="clear" w:color="auto" w:fill="auto"/>
            <w:noWrap/>
            <w:vAlign w:val="center"/>
            <w:hideMark/>
          </w:tcPr>
          <w:p w14:paraId="1D242537"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52,256</w:t>
            </w:r>
          </w:p>
        </w:tc>
        <w:tc>
          <w:tcPr>
            <w:tcW w:w="1326" w:type="dxa"/>
            <w:tcBorders>
              <w:top w:val="nil"/>
              <w:left w:val="nil"/>
              <w:bottom w:val="nil"/>
              <w:right w:val="nil"/>
            </w:tcBorders>
            <w:shd w:val="clear" w:color="auto" w:fill="auto"/>
            <w:noWrap/>
            <w:vAlign w:val="center"/>
            <w:hideMark/>
          </w:tcPr>
          <w:p w14:paraId="0EB471D2"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87,093</w:t>
            </w:r>
          </w:p>
        </w:tc>
        <w:tc>
          <w:tcPr>
            <w:tcW w:w="1367" w:type="dxa"/>
            <w:tcBorders>
              <w:top w:val="nil"/>
              <w:left w:val="nil"/>
              <w:bottom w:val="nil"/>
              <w:right w:val="nil"/>
            </w:tcBorders>
            <w:shd w:val="clear" w:color="auto" w:fill="auto"/>
            <w:noWrap/>
            <w:vAlign w:val="bottom"/>
            <w:hideMark/>
          </w:tcPr>
          <w:p w14:paraId="3B7F39AA"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0.275</w:t>
            </w:r>
          </w:p>
        </w:tc>
      </w:tr>
      <w:tr w:rsidR="000F7C00" w:rsidRPr="007A67E4" w14:paraId="2D7BCB4D" w14:textId="77777777" w:rsidTr="0018258B">
        <w:trPr>
          <w:trHeight w:val="310"/>
        </w:trPr>
        <w:tc>
          <w:tcPr>
            <w:tcW w:w="4425" w:type="dxa"/>
            <w:tcBorders>
              <w:top w:val="nil"/>
              <w:left w:val="nil"/>
              <w:bottom w:val="nil"/>
              <w:right w:val="nil"/>
            </w:tcBorders>
            <w:shd w:val="clear" w:color="auto" w:fill="auto"/>
            <w:noWrap/>
            <w:vAlign w:val="center"/>
            <w:hideMark/>
          </w:tcPr>
          <w:p w14:paraId="5329C974" w14:textId="77777777" w:rsidR="000F7C00" w:rsidRPr="007A67E4" w:rsidRDefault="000F7C00" w:rsidP="00211FA3">
            <w:pPr>
              <w:spacing w:after="0" w:line="240" w:lineRule="auto"/>
              <w:rPr>
                <w:rFonts w:ascii="Times New Roman" w:eastAsia="Times New Roman" w:hAnsi="Times New Roman" w:cs="Times New Roman"/>
                <w:i/>
                <w:iCs/>
                <w:color w:val="000000"/>
                <w:sz w:val="24"/>
                <w:szCs w:val="24"/>
              </w:rPr>
            </w:pPr>
            <w:r w:rsidRPr="007A67E4">
              <w:rPr>
                <w:rFonts w:ascii="Times New Roman" w:eastAsia="Times New Roman" w:hAnsi="Times New Roman" w:cs="Times New Roman"/>
                <w:i/>
                <w:iCs/>
                <w:color w:val="000000"/>
                <w:sz w:val="24"/>
                <w:szCs w:val="24"/>
              </w:rPr>
              <w:t>All individuals</w:t>
            </w:r>
            <w:r w:rsidRPr="007A67E4">
              <w:rPr>
                <w:rFonts w:ascii="Calibri" w:eastAsia="Times New Roman" w:hAnsi="Calibri" w:cs="Calibri"/>
                <w:color w:val="000000"/>
                <w:sz w:val="16"/>
                <w:szCs w:val="16"/>
              </w:rPr>
              <w:t>  </w:t>
            </w:r>
          </w:p>
        </w:tc>
        <w:tc>
          <w:tcPr>
            <w:tcW w:w="1129" w:type="dxa"/>
            <w:tcBorders>
              <w:top w:val="nil"/>
              <w:left w:val="nil"/>
              <w:bottom w:val="nil"/>
              <w:right w:val="nil"/>
            </w:tcBorders>
            <w:shd w:val="clear" w:color="auto" w:fill="auto"/>
            <w:noWrap/>
            <w:vAlign w:val="center"/>
            <w:hideMark/>
          </w:tcPr>
          <w:p w14:paraId="052239DE" w14:textId="77777777" w:rsidR="000F7C00" w:rsidRPr="007A67E4" w:rsidRDefault="000F7C00" w:rsidP="00211FA3">
            <w:pPr>
              <w:spacing w:after="0" w:line="240" w:lineRule="auto"/>
              <w:rPr>
                <w:rFonts w:ascii="Times New Roman" w:eastAsia="Times New Roman" w:hAnsi="Times New Roman" w:cs="Times New Roman"/>
                <w:i/>
                <w:iCs/>
                <w:color w:val="000000"/>
                <w:sz w:val="24"/>
                <w:szCs w:val="24"/>
              </w:rPr>
            </w:pPr>
          </w:p>
        </w:tc>
        <w:tc>
          <w:tcPr>
            <w:tcW w:w="1129" w:type="dxa"/>
            <w:tcBorders>
              <w:top w:val="nil"/>
              <w:left w:val="nil"/>
              <w:bottom w:val="nil"/>
              <w:right w:val="nil"/>
            </w:tcBorders>
            <w:shd w:val="clear" w:color="auto" w:fill="auto"/>
            <w:noWrap/>
            <w:vAlign w:val="center"/>
            <w:hideMark/>
          </w:tcPr>
          <w:p w14:paraId="0D129B25" w14:textId="77777777" w:rsidR="000F7C00" w:rsidRPr="007A67E4" w:rsidRDefault="000F7C00" w:rsidP="00211FA3">
            <w:pPr>
              <w:spacing w:after="0" w:line="240" w:lineRule="auto"/>
              <w:rPr>
                <w:rFonts w:ascii="Times New Roman" w:eastAsia="Times New Roman" w:hAnsi="Times New Roman" w:cs="Times New Roman"/>
                <w:sz w:val="20"/>
                <w:szCs w:val="20"/>
              </w:rPr>
            </w:pPr>
          </w:p>
        </w:tc>
        <w:tc>
          <w:tcPr>
            <w:tcW w:w="1129" w:type="dxa"/>
            <w:tcBorders>
              <w:top w:val="nil"/>
              <w:left w:val="nil"/>
              <w:bottom w:val="nil"/>
              <w:right w:val="nil"/>
            </w:tcBorders>
            <w:shd w:val="clear" w:color="auto" w:fill="auto"/>
            <w:noWrap/>
            <w:vAlign w:val="center"/>
            <w:hideMark/>
          </w:tcPr>
          <w:p w14:paraId="1DD69556" w14:textId="77777777" w:rsidR="000F7C00" w:rsidRPr="007A67E4" w:rsidRDefault="000F7C00" w:rsidP="00211FA3">
            <w:pPr>
              <w:spacing w:after="0" w:line="240" w:lineRule="auto"/>
              <w:rPr>
                <w:rFonts w:ascii="Times New Roman" w:eastAsia="Times New Roman" w:hAnsi="Times New Roman" w:cs="Times New Roman"/>
                <w:sz w:val="20"/>
                <w:szCs w:val="20"/>
              </w:rPr>
            </w:pPr>
          </w:p>
        </w:tc>
        <w:tc>
          <w:tcPr>
            <w:tcW w:w="1129" w:type="dxa"/>
            <w:tcBorders>
              <w:top w:val="nil"/>
              <w:left w:val="nil"/>
              <w:bottom w:val="nil"/>
              <w:right w:val="nil"/>
            </w:tcBorders>
            <w:shd w:val="clear" w:color="auto" w:fill="auto"/>
            <w:noWrap/>
            <w:vAlign w:val="center"/>
            <w:hideMark/>
          </w:tcPr>
          <w:p w14:paraId="4C2BD53D" w14:textId="77777777" w:rsidR="000F7C00" w:rsidRPr="007A67E4" w:rsidRDefault="000F7C00" w:rsidP="00211FA3">
            <w:pPr>
              <w:spacing w:after="0" w:line="240" w:lineRule="auto"/>
              <w:rPr>
                <w:rFonts w:ascii="Times New Roman" w:eastAsia="Times New Roman" w:hAnsi="Times New Roman" w:cs="Times New Roman"/>
                <w:sz w:val="20"/>
                <w:szCs w:val="20"/>
              </w:rPr>
            </w:pPr>
          </w:p>
        </w:tc>
        <w:tc>
          <w:tcPr>
            <w:tcW w:w="1326" w:type="dxa"/>
            <w:tcBorders>
              <w:top w:val="nil"/>
              <w:left w:val="nil"/>
              <w:bottom w:val="nil"/>
              <w:right w:val="nil"/>
            </w:tcBorders>
            <w:shd w:val="clear" w:color="auto" w:fill="auto"/>
            <w:noWrap/>
            <w:vAlign w:val="center"/>
            <w:hideMark/>
          </w:tcPr>
          <w:p w14:paraId="48A06C90" w14:textId="77777777" w:rsidR="000F7C00" w:rsidRPr="007A67E4" w:rsidRDefault="000F7C00" w:rsidP="00211FA3">
            <w:pPr>
              <w:spacing w:after="0" w:line="240" w:lineRule="auto"/>
              <w:rPr>
                <w:rFonts w:ascii="Times New Roman" w:eastAsia="Times New Roman" w:hAnsi="Times New Roman" w:cs="Times New Roman"/>
                <w:sz w:val="20"/>
                <w:szCs w:val="20"/>
              </w:rPr>
            </w:pPr>
          </w:p>
        </w:tc>
        <w:tc>
          <w:tcPr>
            <w:tcW w:w="1326" w:type="dxa"/>
            <w:tcBorders>
              <w:top w:val="nil"/>
              <w:left w:val="nil"/>
              <w:bottom w:val="nil"/>
              <w:right w:val="nil"/>
            </w:tcBorders>
            <w:shd w:val="clear" w:color="auto" w:fill="auto"/>
            <w:noWrap/>
            <w:vAlign w:val="center"/>
            <w:hideMark/>
          </w:tcPr>
          <w:p w14:paraId="4D719D43" w14:textId="77777777" w:rsidR="000F7C00" w:rsidRPr="007A67E4" w:rsidRDefault="000F7C00" w:rsidP="00211FA3">
            <w:pPr>
              <w:spacing w:after="0" w:line="240" w:lineRule="auto"/>
              <w:rPr>
                <w:rFonts w:ascii="Times New Roman" w:eastAsia="Times New Roman" w:hAnsi="Times New Roman" w:cs="Times New Roman"/>
                <w:sz w:val="20"/>
                <w:szCs w:val="20"/>
              </w:rPr>
            </w:pPr>
          </w:p>
        </w:tc>
        <w:tc>
          <w:tcPr>
            <w:tcW w:w="1367" w:type="dxa"/>
            <w:tcBorders>
              <w:top w:val="nil"/>
              <w:left w:val="nil"/>
              <w:bottom w:val="nil"/>
              <w:right w:val="nil"/>
            </w:tcBorders>
            <w:shd w:val="clear" w:color="auto" w:fill="auto"/>
            <w:noWrap/>
            <w:vAlign w:val="bottom"/>
            <w:hideMark/>
          </w:tcPr>
          <w:p w14:paraId="1AAB0216" w14:textId="77777777" w:rsidR="000F7C00" w:rsidRPr="007A67E4" w:rsidRDefault="000F7C00" w:rsidP="00211FA3">
            <w:pPr>
              <w:spacing w:after="0" w:line="240" w:lineRule="auto"/>
              <w:rPr>
                <w:rFonts w:ascii="Times New Roman" w:eastAsia="Times New Roman" w:hAnsi="Times New Roman" w:cs="Times New Roman"/>
                <w:sz w:val="20"/>
                <w:szCs w:val="20"/>
              </w:rPr>
            </w:pPr>
          </w:p>
        </w:tc>
      </w:tr>
      <w:tr w:rsidR="000F7C00" w:rsidRPr="007A67E4" w14:paraId="6D699E9B" w14:textId="77777777" w:rsidTr="0018258B">
        <w:trPr>
          <w:trHeight w:val="310"/>
        </w:trPr>
        <w:tc>
          <w:tcPr>
            <w:tcW w:w="4425" w:type="dxa"/>
            <w:tcBorders>
              <w:top w:val="nil"/>
              <w:left w:val="nil"/>
              <w:bottom w:val="nil"/>
              <w:right w:val="nil"/>
            </w:tcBorders>
            <w:shd w:val="clear" w:color="auto" w:fill="auto"/>
            <w:noWrap/>
            <w:vAlign w:val="center"/>
            <w:hideMark/>
          </w:tcPr>
          <w:p w14:paraId="0133237D" w14:textId="77777777" w:rsidR="000F7C00" w:rsidRPr="007A67E4" w:rsidRDefault="000F7C00" w:rsidP="00211FA3">
            <w:pPr>
              <w:spacing w:after="0" w:line="240" w:lineRule="auto"/>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 xml:space="preserve">     Men and women</w:t>
            </w:r>
          </w:p>
        </w:tc>
        <w:tc>
          <w:tcPr>
            <w:tcW w:w="1129" w:type="dxa"/>
            <w:tcBorders>
              <w:top w:val="nil"/>
              <w:left w:val="nil"/>
              <w:bottom w:val="nil"/>
              <w:right w:val="nil"/>
            </w:tcBorders>
            <w:shd w:val="clear" w:color="auto" w:fill="auto"/>
            <w:noWrap/>
            <w:vAlign w:val="center"/>
            <w:hideMark/>
          </w:tcPr>
          <w:p w14:paraId="21E53613"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0</w:t>
            </w:r>
          </w:p>
        </w:tc>
        <w:tc>
          <w:tcPr>
            <w:tcW w:w="1129" w:type="dxa"/>
            <w:tcBorders>
              <w:top w:val="nil"/>
              <w:left w:val="nil"/>
              <w:bottom w:val="nil"/>
              <w:right w:val="nil"/>
            </w:tcBorders>
            <w:shd w:val="clear" w:color="auto" w:fill="auto"/>
            <w:noWrap/>
            <w:vAlign w:val="center"/>
            <w:hideMark/>
          </w:tcPr>
          <w:p w14:paraId="71582B33"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2,032</w:t>
            </w:r>
          </w:p>
        </w:tc>
        <w:tc>
          <w:tcPr>
            <w:tcW w:w="1129" w:type="dxa"/>
            <w:tcBorders>
              <w:top w:val="nil"/>
              <w:left w:val="nil"/>
              <w:bottom w:val="nil"/>
              <w:right w:val="nil"/>
            </w:tcBorders>
            <w:shd w:val="clear" w:color="auto" w:fill="auto"/>
            <w:noWrap/>
            <w:vAlign w:val="center"/>
            <w:hideMark/>
          </w:tcPr>
          <w:p w14:paraId="5E7E46FD"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25,257</w:t>
            </w:r>
          </w:p>
        </w:tc>
        <w:tc>
          <w:tcPr>
            <w:tcW w:w="1129" w:type="dxa"/>
            <w:tcBorders>
              <w:top w:val="nil"/>
              <w:left w:val="nil"/>
              <w:bottom w:val="nil"/>
              <w:right w:val="nil"/>
            </w:tcBorders>
            <w:shd w:val="clear" w:color="auto" w:fill="auto"/>
            <w:noWrap/>
            <w:vAlign w:val="center"/>
            <w:hideMark/>
          </w:tcPr>
          <w:p w14:paraId="2D763918"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46,667</w:t>
            </w:r>
          </w:p>
        </w:tc>
        <w:tc>
          <w:tcPr>
            <w:tcW w:w="1326" w:type="dxa"/>
            <w:tcBorders>
              <w:top w:val="nil"/>
              <w:left w:val="nil"/>
              <w:bottom w:val="nil"/>
              <w:right w:val="nil"/>
            </w:tcBorders>
            <w:shd w:val="clear" w:color="auto" w:fill="auto"/>
            <w:noWrap/>
            <w:vAlign w:val="center"/>
            <w:hideMark/>
          </w:tcPr>
          <w:p w14:paraId="2B7917C0"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69,674</w:t>
            </w:r>
          </w:p>
        </w:tc>
        <w:tc>
          <w:tcPr>
            <w:tcW w:w="1326" w:type="dxa"/>
            <w:tcBorders>
              <w:top w:val="nil"/>
              <w:left w:val="nil"/>
              <w:bottom w:val="nil"/>
              <w:right w:val="nil"/>
            </w:tcBorders>
            <w:shd w:val="clear" w:color="auto" w:fill="auto"/>
            <w:noWrap/>
            <w:vAlign w:val="center"/>
            <w:hideMark/>
          </w:tcPr>
          <w:p w14:paraId="5F90E5E8"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145,155</w:t>
            </w:r>
          </w:p>
        </w:tc>
        <w:tc>
          <w:tcPr>
            <w:tcW w:w="1367" w:type="dxa"/>
            <w:tcBorders>
              <w:top w:val="nil"/>
              <w:left w:val="nil"/>
              <w:bottom w:val="nil"/>
              <w:right w:val="nil"/>
            </w:tcBorders>
            <w:shd w:val="clear" w:color="auto" w:fill="auto"/>
            <w:noWrap/>
            <w:vAlign w:val="bottom"/>
            <w:hideMark/>
          </w:tcPr>
          <w:p w14:paraId="54D0E838"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0.537</w:t>
            </w:r>
          </w:p>
        </w:tc>
      </w:tr>
      <w:tr w:rsidR="000F7C00" w:rsidRPr="007A67E4" w14:paraId="38C56E5F" w14:textId="77777777" w:rsidTr="0018258B">
        <w:trPr>
          <w:trHeight w:val="310"/>
        </w:trPr>
        <w:tc>
          <w:tcPr>
            <w:tcW w:w="4425" w:type="dxa"/>
            <w:tcBorders>
              <w:top w:val="nil"/>
              <w:left w:val="nil"/>
              <w:bottom w:val="nil"/>
              <w:right w:val="nil"/>
            </w:tcBorders>
            <w:shd w:val="clear" w:color="auto" w:fill="auto"/>
            <w:noWrap/>
            <w:vAlign w:val="center"/>
            <w:hideMark/>
          </w:tcPr>
          <w:p w14:paraId="07F6A097" w14:textId="77777777" w:rsidR="000F7C00" w:rsidRPr="007A67E4" w:rsidRDefault="000F7C00" w:rsidP="00211FA3">
            <w:pPr>
              <w:spacing w:after="0" w:line="240" w:lineRule="auto"/>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 xml:space="preserve">     Men</w:t>
            </w:r>
          </w:p>
        </w:tc>
        <w:tc>
          <w:tcPr>
            <w:tcW w:w="1129" w:type="dxa"/>
            <w:tcBorders>
              <w:top w:val="nil"/>
              <w:left w:val="nil"/>
              <w:bottom w:val="nil"/>
              <w:right w:val="nil"/>
            </w:tcBorders>
            <w:shd w:val="clear" w:color="auto" w:fill="auto"/>
            <w:noWrap/>
            <w:vAlign w:val="center"/>
            <w:hideMark/>
          </w:tcPr>
          <w:p w14:paraId="1B7B7323"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5,632</w:t>
            </w:r>
          </w:p>
        </w:tc>
        <w:tc>
          <w:tcPr>
            <w:tcW w:w="1129" w:type="dxa"/>
            <w:tcBorders>
              <w:top w:val="nil"/>
              <w:left w:val="nil"/>
              <w:bottom w:val="nil"/>
              <w:right w:val="nil"/>
            </w:tcBorders>
            <w:shd w:val="clear" w:color="auto" w:fill="auto"/>
            <w:noWrap/>
            <w:vAlign w:val="center"/>
            <w:hideMark/>
          </w:tcPr>
          <w:p w14:paraId="69FCB49E"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26,128</w:t>
            </w:r>
          </w:p>
        </w:tc>
        <w:tc>
          <w:tcPr>
            <w:tcW w:w="1129" w:type="dxa"/>
            <w:tcBorders>
              <w:top w:val="nil"/>
              <w:left w:val="nil"/>
              <w:bottom w:val="nil"/>
              <w:right w:val="nil"/>
            </w:tcBorders>
            <w:shd w:val="clear" w:color="auto" w:fill="auto"/>
            <w:noWrap/>
            <w:vAlign w:val="center"/>
            <w:hideMark/>
          </w:tcPr>
          <w:p w14:paraId="1EAA065D"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44,603</w:t>
            </w:r>
          </w:p>
        </w:tc>
        <w:tc>
          <w:tcPr>
            <w:tcW w:w="1129" w:type="dxa"/>
            <w:tcBorders>
              <w:top w:val="nil"/>
              <w:left w:val="nil"/>
              <w:bottom w:val="nil"/>
              <w:right w:val="nil"/>
            </w:tcBorders>
            <w:shd w:val="clear" w:color="auto" w:fill="auto"/>
            <w:noWrap/>
            <w:vAlign w:val="center"/>
            <w:hideMark/>
          </w:tcPr>
          <w:p w14:paraId="7BC2E603"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63,868</w:t>
            </w:r>
          </w:p>
        </w:tc>
        <w:tc>
          <w:tcPr>
            <w:tcW w:w="1326" w:type="dxa"/>
            <w:tcBorders>
              <w:top w:val="nil"/>
              <w:left w:val="nil"/>
              <w:bottom w:val="nil"/>
              <w:right w:val="nil"/>
            </w:tcBorders>
            <w:shd w:val="clear" w:color="auto" w:fill="auto"/>
            <w:noWrap/>
            <w:vAlign w:val="center"/>
            <w:hideMark/>
          </w:tcPr>
          <w:p w14:paraId="7EFF052F"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87,093</w:t>
            </w:r>
          </w:p>
        </w:tc>
        <w:tc>
          <w:tcPr>
            <w:tcW w:w="1326" w:type="dxa"/>
            <w:tcBorders>
              <w:top w:val="nil"/>
              <w:left w:val="nil"/>
              <w:bottom w:val="nil"/>
              <w:right w:val="nil"/>
            </w:tcBorders>
            <w:shd w:val="clear" w:color="auto" w:fill="auto"/>
            <w:noWrap/>
            <w:vAlign w:val="center"/>
            <w:hideMark/>
          </w:tcPr>
          <w:p w14:paraId="1876E545"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188,701</w:t>
            </w:r>
          </w:p>
        </w:tc>
        <w:tc>
          <w:tcPr>
            <w:tcW w:w="1367" w:type="dxa"/>
            <w:tcBorders>
              <w:top w:val="nil"/>
              <w:left w:val="nil"/>
              <w:bottom w:val="nil"/>
              <w:right w:val="nil"/>
            </w:tcBorders>
            <w:shd w:val="clear" w:color="auto" w:fill="auto"/>
            <w:noWrap/>
            <w:vAlign w:val="bottom"/>
            <w:hideMark/>
          </w:tcPr>
          <w:p w14:paraId="24465206"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0.381</w:t>
            </w:r>
          </w:p>
        </w:tc>
      </w:tr>
      <w:tr w:rsidR="000F7C00" w:rsidRPr="007A67E4" w14:paraId="0434E3AF" w14:textId="77777777" w:rsidTr="0018258B">
        <w:trPr>
          <w:trHeight w:val="310"/>
        </w:trPr>
        <w:tc>
          <w:tcPr>
            <w:tcW w:w="4425" w:type="dxa"/>
            <w:tcBorders>
              <w:top w:val="nil"/>
              <w:left w:val="nil"/>
              <w:bottom w:val="nil"/>
              <w:right w:val="nil"/>
            </w:tcBorders>
            <w:shd w:val="clear" w:color="auto" w:fill="auto"/>
            <w:noWrap/>
            <w:vAlign w:val="center"/>
            <w:hideMark/>
          </w:tcPr>
          <w:p w14:paraId="09280337" w14:textId="77777777" w:rsidR="000F7C00" w:rsidRPr="007A67E4" w:rsidRDefault="000F7C00" w:rsidP="00211FA3">
            <w:pPr>
              <w:spacing w:after="0" w:line="240" w:lineRule="auto"/>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 xml:space="preserve">     Women</w:t>
            </w:r>
          </w:p>
        </w:tc>
        <w:tc>
          <w:tcPr>
            <w:tcW w:w="1129" w:type="dxa"/>
            <w:tcBorders>
              <w:top w:val="nil"/>
              <w:left w:val="nil"/>
              <w:bottom w:val="nil"/>
              <w:right w:val="nil"/>
            </w:tcBorders>
            <w:shd w:val="clear" w:color="auto" w:fill="auto"/>
            <w:noWrap/>
            <w:vAlign w:val="center"/>
            <w:hideMark/>
          </w:tcPr>
          <w:p w14:paraId="5F0FFA25"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0</w:t>
            </w:r>
          </w:p>
        </w:tc>
        <w:tc>
          <w:tcPr>
            <w:tcW w:w="1129" w:type="dxa"/>
            <w:tcBorders>
              <w:top w:val="nil"/>
              <w:left w:val="nil"/>
              <w:bottom w:val="nil"/>
              <w:right w:val="nil"/>
            </w:tcBorders>
            <w:shd w:val="clear" w:color="auto" w:fill="auto"/>
            <w:noWrap/>
            <w:vAlign w:val="center"/>
            <w:hideMark/>
          </w:tcPr>
          <w:p w14:paraId="02FC3AE2"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0</w:t>
            </w:r>
          </w:p>
        </w:tc>
        <w:tc>
          <w:tcPr>
            <w:tcW w:w="1129" w:type="dxa"/>
            <w:tcBorders>
              <w:top w:val="nil"/>
              <w:left w:val="nil"/>
              <w:bottom w:val="nil"/>
              <w:right w:val="nil"/>
            </w:tcBorders>
            <w:shd w:val="clear" w:color="auto" w:fill="auto"/>
            <w:noWrap/>
            <w:vAlign w:val="center"/>
            <w:hideMark/>
          </w:tcPr>
          <w:p w14:paraId="216B909F"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8,709</w:t>
            </w:r>
          </w:p>
        </w:tc>
        <w:tc>
          <w:tcPr>
            <w:tcW w:w="1129" w:type="dxa"/>
            <w:tcBorders>
              <w:top w:val="nil"/>
              <w:left w:val="nil"/>
              <w:bottom w:val="nil"/>
              <w:right w:val="nil"/>
            </w:tcBorders>
            <w:shd w:val="clear" w:color="auto" w:fill="auto"/>
            <w:noWrap/>
            <w:vAlign w:val="center"/>
            <w:hideMark/>
          </w:tcPr>
          <w:p w14:paraId="3697F729"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26,128</w:t>
            </w:r>
          </w:p>
        </w:tc>
        <w:tc>
          <w:tcPr>
            <w:tcW w:w="1326" w:type="dxa"/>
            <w:tcBorders>
              <w:top w:val="nil"/>
              <w:left w:val="nil"/>
              <w:bottom w:val="nil"/>
              <w:right w:val="nil"/>
            </w:tcBorders>
            <w:shd w:val="clear" w:color="auto" w:fill="auto"/>
            <w:noWrap/>
            <w:vAlign w:val="center"/>
            <w:hideMark/>
          </w:tcPr>
          <w:p w14:paraId="7EF1B0BD"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40,643</w:t>
            </w:r>
          </w:p>
        </w:tc>
        <w:tc>
          <w:tcPr>
            <w:tcW w:w="1326" w:type="dxa"/>
            <w:tcBorders>
              <w:top w:val="nil"/>
              <w:left w:val="nil"/>
              <w:bottom w:val="nil"/>
              <w:right w:val="nil"/>
            </w:tcBorders>
            <w:shd w:val="clear" w:color="auto" w:fill="auto"/>
            <w:noWrap/>
            <w:vAlign w:val="center"/>
            <w:hideMark/>
          </w:tcPr>
          <w:p w14:paraId="1916427E"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71,039</w:t>
            </w:r>
          </w:p>
        </w:tc>
        <w:tc>
          <w:tcPr>
            <w:tcW w:w="1367" w:type="dxa"/>
            <w:tcBorders>
              <w:top w:val="nil"/>
              <w:left w:val="nil"/>
              <w:bottom w:val="nil"/>
              <w:right w:val="nil"/>
            </w:tcBorders>
            <w:shd w:val="clear" w:color="auto" w:fill="auto"/>
            <w:noWrap/>
            <w:vAlign w:val="bottom"/>
            <w:hideMark/>
          </w:tcPr>
          <w:p w14:paraId="06018AC2"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0.614</w:t>
            </w:r>
          </w:p>
        </w:tc>
      </w:tr>
      <w:tr w:rsidR="000F7C00" w:rsidRPr="007A67E4" w14:paraId="349E32A0" w14:textId="77777777" w:rsidTr="0018258B">
        <w:trPr>
          <w:trHeight w:val="310"/>
        </w:trPr>
        <w:tc>
          <w:tcPr>
            <w:tcW w:w="4425" w:type="dxa"/>
            <w:tcBorders>
              <w:top w:val="nil"/>
              <w:left w:val="nil"/>
              <w:bottom w:val="nil"/>
              <w:right w:val="nil"/>
            </w:tcBorders>
            <w:shd w:val="clear" w:color="auto" w:fill="auto"/>
            <w:noWrap/>
            <w:vAlign w:val="bottom"/>
            <w:hideMark/>
          </w:tcPr>
          <w:p w14:paraId="7C0F74AE"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p>
        </w:tc>
        <w:tc>
          <w:tcPr>
            <w:tcW w:w="1129" w:type="dxa"/>
            <w:tcBorders>
              <w:top w:val="nil"/>
              <w:left w:val="nil"/>
              <w:bottom w:val="nil"/>
              <w:right w:val="nil"/>
            </w:tcBorders>
            <w:shd w:val="clear" w:color="auto" w:fill="auto"/>
            <w:noWrap/>
            <w:vAlign w:val="center"/>
            <w:hideMark/>
          </w:tcPr>
          <w:p w14:paraId="77FC3BAE" w14:textId="77777777" w:rsidR="000F7C00" w:rsidRPr="007A67E4" w:rsidRDefault="000F7C00" w:rsidP="00211FA3">
            <w:pPr>
              <w:spacing w:after="0" w:line="240" w:lineRule="auto"/>
              <w:rPr>
                <w:rFonts w:ascii="Times New Roman" w:eastAsia="Times New Roman" w:hAnsi="Times New Roman" w:cs="Times New Roman"/>
                <w:sz w:val="20"/>
                <w:szCs w:val="20"/>
              </w:rPr>
            </w:pPr>
          </w:p>
        </w:tc>
        <w:tc>
          <w:tcPr>
            <w:tcW w:w="1129" w:type="dxa"/>
            <w:tcBorders>
              <w:top w:val="nil"/>
              <w:left w:val="nil"/>
              <w:bottom w:val="nil"/>
              <w:right w:val="nil"/>
            </w:tcBorders>
            <w:shd w:val="clear" w:color="auto" w:fill="auto"/>
            <w:noWrap/>
            <w:vAlign w:val="center"/>
            <w:hideMark/>
          </w:tcPr>
          <w:p w14:paraId="228A87CF" w14:textId="77777777" w:rsidR="000F7C00" w:rsidRPr="007A67E4" w:rsidRDefault="000F7C00" w:rsidP="00211FA3">
            <w:pPr>
              <w:spacing w:after="0" w:line="240" w:lineRule="auto"/>
              <w:rPr>
                <w:rFonts w:ascii="Times New Roman" w:eastAsia="Times New Roman" w:hAnsi="Times New Roman" w:cs="Times New Roman"/>
                <w:sz w:val="20"/>
                <w:szCs w:val="20"/>
              </w:rPr>
            </w:pPr>
          </w:p>
        </w:tc>
        <w:tc>
          <w:tcPr>
            <w:tcW w:w="1129" w:type="dxa"/>
            <w:tcBorders>
              <w:top w:val="nil"/>
              <w:left w:val="nil"/>
              <w:bottom w:val="nil"/>
              <w:right w:val="nil"/>
            </w:tcBorders>
            <w:shd w:val="clear" w:color="auto" w:fill="auto"/>
            <w:noWrap/>
            <w:vAlign w:val="center"/>
            <w:hideMark/>
          </w:tcPr>
          <w:p w14:paraId="3788E4F2" w14:textId="77777777" w:rsidR="000F7C00" w:rsidRPr="007A67E4" w:rsidRDefault="000F7C00" w:rsidP="00211FA3">
            <w:pPr>
              <w:spacing w:after="0" w:line="240" w:lineRule="auto"/>
              <w:rPr>
                <w:rFonts w:ascii="Times New Roman" w:eastAsia="Times New Roman" w:hAnsi="Times New Roman" w:cs="Times New Roman"/>
                <w:sz w:val="20"/>
                <w:szCs w:val="20"/>
              </w:rPr>
            </w:pPr>
          </w:p>
        </w:tc>
        <w:tc>
          <w:tcPr>
            <w:tcW w:w="1129" w:type="dxa"/>
            <w:tcBorders>
              <w:top w:val="nil"/>
              <w:left w:val="nil"/>
              <w:bottom w:val="nil"/>
              <w:right w:val="nil"/>
            </w:tcBorders>
            <w:shd w:val="clear" w:color="auto" w:fill="auto"/>
            <w:noWrap/>
            <w:vAlign w:val="center"/>
            <w:hideMark/>
          </w:tcPr>
          <w:p w14:paraId="19C3DC1A" w14:textId="77777777" w:rsidR="000F7C00" w:rsidRPr="007A67E4" w:rsidRDefault="000F7C00" w:rsidP="00211FA3">
            <w:pPr>
              <w:spacing w:after="0" w:line="240" w:lineRule="auto"/>
              <w:rPr>
                <w:rFonts w:ascii="Times New Roman" w:eastAsia="Times New Roman" w:hAnsi="Times New Roman" w:cs="Times New Roman"/>
                <w:sz w:val="20"/>
                <w:szCs w:val="20"/>
              </w:rPr>
            </w:pPr>
          </w:p>
        </w:tc>
        <w:tc>
          <w:tcPr>
            <w:tcW w:w="1326" w:type="dxa"/>
            <w:tcBorders>
              <w:top w:val="nil"/>
              <w:left w:val="nil"/>
              <w:bottom w:val="nil"/>
              <w:right w:val="nil"/>
            </w:tcBorders>
            <w:shd w:val="clear" w:color="auto" w:fill="auto"/>
            <w:noWrap/>
            <w:vAlign w:val="center"/>
            <w:hideMark/>
          </w:tcPr>
          <w:p w14:paraId="09DF902A" w14:textId="77777777" w:rsidR="000F7C00" w:rsidRPr="007A67E4" w:rsidRDefault="000F7C00" w:rsidP="00211FA3">
            <w:pPr>
              <w:spacing w:after="0" w:line="240" w:lineRule="auto"/>
              <w:rPr>
                <w:rFonts w:ascii="Times New Roman" w:eastAsia="Times New Roman" w:hAnsi="Times New Roman" w:cs="Times New Roman"/>
                <w:sz w:val="20"/>
                <w:szCs w:val="20"/>
              </w:rPr>
            </w:pPr>
          </w:p>
        </w:tc>
        <w:tc>
          <w:tcPr>
            <w:tcW w:w="1326" w:type="dxa"/>
            <w:tcBorders>
              <w:top w:val="nil"/>
              <w:left w:val="nil"/>
              <w:bottom w:val="nil"/>
              <w:right w:val="nil"/>
            </w:tcBorders>
            <w:shd w:val="clear" w:color="auto" w:fill="auto"/>
            <w:noWrap/>
            <w:vAlign w:val="center"/>
            <w:hideMark/>
          </w:tcPr>
          <w:p w14:paraId="60AA5001" w14:textId="77777777" w:rsidR="000F7C00" w:rsidRPr="007A67E4" w:rsidRDefault="000F7C00" w:rsidP="00211FA3">
            <w:pPr>
              <w:spacing w:after="0" w:line="240" w:lineRule="auto"/>
              <w:rPr>
                <w:rFonts w:ascii="Times New Roman" w:eastAsia="Times New Roman" w:hAnsi="Times New Roman" w:cs="Times New Roman"/>
                <w:sz w:val="20"/>
                <w:szCs w:val="20"/>
              </w:rPr>
            </w:pPr>
          </w:p>
        </w:tc>
        <w:tc>
          <w:tcPr>
            <w:tcW w:w="1367" w:type="dxa"/>
            <w:tcBorders>
              <w:top w:val="nil"/>
              <w:left w:val="nil"/>
              <w:bottom w:val="nil"/>
              <w:right w:val="nil"/>
            </w:tcBorders>
            <w:shd w:val="clear" w:color="auto" w:fill="auto"/>
            <w:noWrap/>
            <w:vAlign w:val="bottom"/>
            <w:hideMark/>
          </w:tcPr>
          <w:p w14:paraId="00CC31C6" w14:textId="77777777" w:rsidR="000F7C00" w:rsidRPr="007A67E4" w:rsidRDefault="000F7C00" w:rsidP="00211FA3">
            <w:pPr>
              <w:spacing w:after="0" w:line="240" w:lineRule="auto"/>
              <w:rPr>
                <w:rFonts w:ascii="Times New Roman" w:eastAsia="Times New Roman" w:hAnsi="Times New Roman" w:cs="Times New Roman"/>
                <w:sz w:val="20"/>
                <w:szCs w:val="20"/>
              </w:rPr>
            </w:pPr>
          </w:p>
        </w:tc>
      </w:tr>
      <w:tr w:rsidR="0018258B" w:rsidRPr="007A67E4" w14:paraId="7D24969B" w14:textId="77777777" w:rsidTr="00E244D1">
        <w:trPr>
          <w:trHeight w:val="310"/>
        </w:trPr>
        <w:tc>
          <w:tcPr>
            <w:tcW w:w="12960" w:type="dxa"/>
            <w:gridSpan w:val="8"/>
            <w:tcBorders>
              <w:top w:val="nil"/>
              <w:left w:val="nil"/>
              <w:bottom w:val="nil"/>
              <w:right w:val="nil"/>
            </w:tcBorders>
            <w:shd w:val="clear" w:color="auto" w:fill="auto"/>
            <w:noWrap/>
            <w:vAlign w:val="center"/>
            <w:hideMark/>
          </w:tcPr>
          <w:p w14:paraId="573A92F5" w14:textId="306662EB" w:rsidR="0018258B" w:rsidRPr="007A67E4" w:rsidRDefault="0018258B" w:rsidP="00211FA3">
            <w:pPr>
              <w:spacing w:after="0" w:line="240" w:lineRule="auto"/>
              <w:jc w:val="center"/>
              <w:rPr>
                <w:rFonts w:ascii="Times New Roman" w:eastAsia="Times New Roman" w:hAnsi="Times New Roman" w:cs="Times New Roman"/>
                <w:b/>
                <w:bCs/>
                <w:color w:val="000000"/>
                <w:sz w:val="24"/>
                <w:szCs w:val="24"/>
              </w:rPr>
            </w:pPr>
            <w:r w:rsidRPr="007A67E4">
              <w:rPr>
                <w:rFonts w:ascii="Times New Roman" w:eastAsia="Times New Roman" w:hAnsi="Times New Roman" w:cs="Times New Roman"/>
                <w:b/>
                <w:bCs/>
                <w:color w:val="000000"/>
                <w:sz w:val="24"/>
                <w:szCs w:val="24"/>
              </w:rPr>
              <w:t>Panel B: 2018</w:t>
            </w:r>
          </w:p>
        </w:tc>
      </w:tr>
      <w:tr w:rsidR="000F7C00" w:rsidRPr="007A67E4" w14:paraId="4376C256" w14:textId="77777777" w:rsidTr="0018258B">
        <w:trPr>
          <w:trHeight w:val="310"/>
        </w:trPr>
        <w:tc>
          <w:tcPr>
            <w:tcW w:w="4425" w:type="dxa"/>
            <w:tcBorders>
              <w:top w:val="nil"/>
              <w:left w:val="nil"/>
              <w:bottom w:val="nil"/>
              <w:right w:val="nil"/>
            </w:tcBorders>
            <w:shd w:val="clear" w:color="auto" w:fill="auto"/>
            <w:noWrap/>
            <w:vAlign w:val="center"/>
            <w:hideMark/>
          </w:tcPr>
          <w:p w14:paraId="7FB2B97B" w14:textId="77777777" w:rsidR="000F7C00" w:rsidRPr="007A67E4" w:rsidRDefault="000F7C00" w:rsidP="00211FA3">
            <w:pPr>
              <w:spacing w:after="0" w:line="240" w:lineRule="auto"/>
              <w:rPr>
                <w:rFonts w:ascii="Times New Roman" w:eastAsia="Times New Roman" w:hAnsi="Times New Roman" w:cs="Times New Roman"/>
                <w:i/>
                <w:iCs/>
                <w:color w:val="000000"/>
                <w:sz w:val="24"/>
                <w:szCs w:val="24"/>
              </w:rPr>
            </w:pPr>
            <w:r w:rsidRPr="007A67E4">
              <w:rPr>
                <w:rFonts w:ascii="Times New Roman" w:eastAsia="Times New Roman" w:hAnsi="Times New Roman" w:cs="Times New Roman"/>
                <w:i/>
                <w:iCs/>
                <w:color w:val="000000"/>
                <w:sz w:val="24"/>
                <w:szCs w:val="24"/>
              </w:rPr>
              <w:t>Full-time, full-year workers</w:t>
            </w:r>
          </w:p>
        </w:tc>
        <w:tc>
          <w:tcPr>
            <w:tcW w:w="1129" w:type="dxa"/>
            <w:tcBorders>
              <w:top w:val="nil"/>
              <w:left w:val="nil"/>
              <w:bottom w:val="nil"/>
              <w:right w:val="nil"/>
            </w:tcBorders>
            <w:shd w:val="clear" w:color="auto" w:fill="auto"/>
            <w:noWrap/>
            <w:vAlign w:val="center"/>
            <w:hideMark/>
          </w:tcPr>
          <w:p w14:paraId="0682A996" w14:textId="77777777" w:rsidR="000F7C00" w:rsidRPr="007A67E4" w:rsidRDefault="000F7C00" w:rsidP="00211FA3">
            <w:pPr>
              <w:spacing w:after="0" w:line="240" w:lineRule="auto"/>
              <w:rPr>
                <w:rFonts w:ascii="Times New Roman" w:eastAsia="Times New Roman" w:hAnsi="Times New Roman" w:cs="Times New Roman"/>
                <w:i/>
                <w:iCs/>
                <w:color w:val="000000"/>
                <w:sz w:val="24"/>
                <w:szCs w:val="24"/>
              </w:rPr>
            </w:pPr>
          </w:p>
        </w:tc>
        <w:tc>
          <w:tcPr>
            <w:tcW w:w="1129" w:type="dxa"/>
            <w:tcBorders>
              <w:top w:val="nil"/>
              <w:left w:val="nil"/>
              <w:bottom w:val="nil"/>
              <w:right w:val="nil"/>
            </w:tcBorders>
            <w:shd w:val="clear" w:color="auto" w:fill="auto"/>
            <w:noWrap/>
            <w:vAlign w:val="center"/>
            <w:hideMark/>
          </w:tcPr>
          <w:p w14:paraId="5DB08362" w14:textId="77777777" w:rsidR="000F7C00" w:rsidRPr="007A67E4" w:rsidRDefault="000F7C00" w:rsidP="00211FA3">
            <w:pPr>
              <w:spacing w:after="0" w:line="240" w:lineRule="auto"/>
              <w:rPr>
                <w:rFonts w:ascii="Times New Roman" w:eastAsia="Times New Roman" w:hAnsi="Times New Roman" w:cs="Times New Roman"/>
                <w:sz w:val="20"/>
                <w:szCs w:val="20"/>
              </w:rPr>
            </w:pPr>
          </w:p>
        </w:tc>
        <w:tc>
          <w:tcPr>
            <w:tcW w:w="1129" w:type="dxa"/>
            <w:tcBorders>
              <w:top w:val="nil"/>
              <w:left w:val="nil"/>
              <w:bottom w:val="nil"/>
              <w:right w:val="nil"/>
            </w:tcBorders>
            <w:shd w:val="clear" w:color="auto" w:fill="auto"/>
            <w:noWrap/>
            <w:vAlign w:val="center"/>
            <w:hideMark/>
          </w:tcPr>
          <w:p w14:paraId="57AD20AA" w14:textId="77777777" w:rsidR="000F7C00" w:rsidRPr="007A67E4" w:rsidRDefault="000F7C00" w:rsidP="00211FA3">
            <w:pPr>
              <w:spacing w:after="0" w:line="240" w:lineRule="auto"/>
              <w:rPr>
                <w:rFonts w:ascii="Times New Roman" w:eastAsia="Times New Roman" w:hAnsi="Times New Roman" w:cs="Times New Roman"/>
                <w:sz w:val="20"/>
                <w:szCs w:val="20"/>
              </w:rPr>
            </w:pPr>
          </w:p>
        </w:tc>
        <w:tc>
          <w:tcPr>
            <w:tcW w:w="1129" w:type="dxa"/>
            <w:tcBorders>
              <w:top w:val="nil"/>
              <w:left w:val="nil"/>
              <w:bottom w:val="nil"/>
              <w:right w:val="nil"/>
            </w:tcBorders>
            <w:shd w:val="clear" w:color="auto" w:fill="auto"/>
            <w:noWrap/>
            <w:vAlign w:val="center"/>
            <w:hideMark/>
          </w:tcPr>
          <w:p w14:paraId="27CB0056" w14:textId="77777777" w:rsidR="000F7C00" w:rsidRPr="007A67E4" w:rsidRDefault="000F7C00" w:rsidP="00211FA3">
            <w:pPr>
              <w:spacing w:after="0" w:line="240" w:lineRule="auto"/>
              <w:rPr>
                <w:rFonts w:ascii="Times New Roman" w:eastAsia="Times New Roman" w:hAnsi="Times New Roman" w:cs="Times New Roman"/>
                <w:sz w:val="20"/>
                <w:szCs w:val="20"/>
              </w:rPr>
            </w:pPr>
          </w:p>
        </w:tc>
        <w:tc>
          <w:tcPr>
            <w:tcW w:w="1326" w:type="dxa"/>
            <w:tcBorders>
              <w:top w:val="nil"/>
              <w:left w:val="nil"/>
              <w:bottom w:val="nil"/>
              <w:right w:val="nil"/>
            </w:tcBorders>
            <w:shd w:val="clear" w:color="auto" w:fill="auto"/>
            <w:noWrap/>
            <w:vAlign w:val="center"/>
            <w:hideMark/>
          </w:tcPr>
          <w:p w14:paraId="31D8B045" w14:textId="77777777" w:rsidR="000F7C00" w:rsidRPr="007A67E4" w:rsidRDefault="000F7C00" w:rsidP="00211FA3">
            <w:pPr>
              <w:spacing w:after="0" w:line="240" w:lineRule="auto"/>
              <w:rPr>
                <w:rFonts w:ascii="Times New Roman" w:eastAsia="Times New Roman" w:hAnsi="Times New Roman" w:cs="Times New Roman"/>
                <w:sz w:val="20"/>
                <w:szCs w:val="20"/>
              </w:rPr>
            </w:pPr>
          </w:p>
        </w:tc>
        <w:tc>
          <w:tcPr>
            <w:tcW w:w="1326" w:type="dxa"/>
            <w:tcBorders>
              <w:top w:val="nil"/>
              <w:left w:val="nil"/>
              <w:bottom w:val="nil"/>
              <w:right w:val="nil"/>
            </w:tcBorders>
            <w:shd w:val="clear" w:color="auto" w:fill="auto"/>
            <w:noWrap/>
            <w:vAlign w:val="center"/>
            <w:hideMark/>
          </w:tcPr>
          <w:p w14:paraId="60EF166A" w14:textId="77777777" w:rsidR="000F7C00" w:rsidRPr="007A67E4" w:rsidRDefault="000F7C00" w:rsidP="00211FA3">
            <w:pPr>
              <w:spacing w:after="0" w:line="240" w:lineRule="auto"/>
              <w:rPr>
                <w:rFonts w:ascii="Times New Roman" w:eastAsia="Times New Roman" w:hAnsi="Times New Roman" w:cs="Times New Roman"/>
                <w:sz w:val="20"/>
                <w:szCs w:val="20"/>
              </w:rPr>
            </w:pPr>
          </w:p>
        </w:tc>
        <w:tc>
          <w:tcPr>
            <w:tcW w:w="1367" w:type="dxa"/>
            <w:tcBorders>
              <w:top w:val="nil"/>
              <w:left w:val="nil"/>
              <w:bottom w:val="nil"/>
              <w:right w:val="nil"/>
            </w:tcBorders>
            <w:shd w:val="clear" w:color="auto" w:fill="auto"/>
            <w:noWrap/>
            <w:vAlign w:val="bottom"/>
            <w:hideMark/>
          </w:tcPr>
          <w:p w14:paraId="4F3BC80F" w14:textId="77777777" w:rsidR="000F7C00" w:rsidRPr="007A67E4" w:rsidRDefault="000F7C00" w:rsidP="00211FA3">
            <w:pPr>
              <w:spacing w:after="0" w:line="240" w:lineRule="auto"/>
              <w:rPr>
                <w:rFonts w:ascii="Times New Roman" w:eastAsia="Times New Roman" w:hAnsi="Times New Roman" w:cs="Times New Roman"/>
                <w:sz w:val="20"/>
                <w:szCs w:val="20"/>
              </w:rPr>
            </w:pPr>
          </w:p>
        </w:tc>
      </w:tr>
      <w:tr w:rsidR="000F7C00" w:rsidRPr="007A67E4" w14:paraId="5791D477" w14:textId="77777777" w:rsidTr="0018258B">
        <w:trPr>
          <w:trHeight w:val="310"/>
        </w:trPr>
        <w:tc>
          <w:tcPr>
            <w:tcW w:w="4425" w:type="dxa"/>
            <w:tcBorders>
              <w:top w:val="nil"/>
              <w:left w:val="nil"/>
              <w:bottom w:val="nil"/>
              <w:right w:val="nil"/>
            </w:tcBorders>
            <w:shd w:val="clear" w:color="auto" w:fill="auto"/>
            <w:noWrap/>
            <w:vAlign w:val="center"/>
            <w:hideMark/>
          </w:tcPr>
          <w:p w14:paraId="3E0A43BF" w14:textId="77777777" w:rsidR="000F7C00" w:rsidRPr="007A67E4" w:rsidRDefault="000F7C00" w:rsidP="00211FA3">
            <w:pPr>
              <w:spacing w:after="0" w:line="240" w:lineRule="auto"/>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 xml:space="preserve">     Men and women</w:t>
            </w:r>
          </w:p>
        </w:tc>
        <w:tc>
          <w:tcPr>
            <w:tcW w:w="1129" w:type="dxa"/>
            <w:tcBorders>
              <w:top w:val="nil"/>
              <w:left w:val="nil"/>
              <w:bottom w:val="nil"/>
              <w:right w:val="nil"/>
            </w:tcBorders>
            <w:shd w:val="clear" w:color="auto" w:fill="auto"/>
            <w:noWrap/>
            <w:vAlign w:val="center"/>
            <w:hideMark/>
          </w:tcPr>
          <w:p w14:paraId="2AD5BC72"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22,000</w:t>
            </w:r>
          </w:p>
        </w:tc>
        <w:tc>
          <w:tcPr>
            <w:tcW w:w="1129" w:type="dxa"/>
            <w:tcBorders>
              <w:top w:val="nil"/>
              <w:left w:val="nil"/>
              <w:bottom w:val="nil"/>
              <w:right w:val="nil"/>
            </w:tcBorders>
            <w:shd w:val="clear" w:color="auto" w:fill="auto"/>
            <w:noWrap/>
            <w:vAlign w:val="center"/>
            <w:hideMark/>
          </w:tcPr>
          <w:p w14:paraId="64AB34E2"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32,000</w:t>
            </w:r>
          </w:p>
        </w:tc>
        <w:tc>
          <w:tcPr>
            <w:tcW w:w="1129" w:type="dxa"/>
            <w:tcBorders>
              <w:top w:val="nil"/>
              <w:left w:val="nil"/>
              <w:bottom w:val="nil"/>
              <w:right w:val="nil"/>
            </w:tcBorders>
            <w:shd w:val="clear" w:color="auto" w:fill="auto"/>
            <w:noWrap/>
            <w:vAlign w:val="center"/>
            <w:hideMark/>
          </w:tcPr>
          <w:p w14:paraId="1718A948"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50,000</w:t>
            </w:r>
          </w:p>
        </w:tc>
        <w:tc>
          <w:tcPr>
            <w:tcW w:w="1129" w:type="dxa"/>
            <w:tcBorders>
              <w:top w:val="nil"/>
              <w:left w:val="nil"/>
              <w:bottom w:val="nil"/>
              <w:right w:val="nil"/>
            </w:tcBorders>
            <w:shd w:val="clear" w:color="auto" w:fill="auto"/>
            <w:noWrap/>
            <w:vAlign w:val="center"/>
            <w:hideMark/>
          </w:tcPr>
          <w:p w14:paraId="2822E734"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78,000</w:t>
            </w:r>
          </w:p>
        </w:tc>
        <w:tc>
          <w:tcPr>
            <w:tcW w:w="1326" w:type="dxa"/>
            <w:tcBorders>
              <w:top w:val="nil"/>
              <w:left w:val="nil"/>
              <w:bottom w:val="nil"/>
              <w:right w:val="nil"/>
            </w:tcBorders>
            <w:shd w:val="clear" w:color="auto" w:fill="auto"/>
            <w:noWrap/>
            <w:vAlign w:val="center"/>
            <w:hideMark/>
          </w:tcPr>
          <w:p w14:paraId="5E0C8AA2"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120,000</w:t>
            </w:r>
          </w:p>
        </w:tc>
        <w:tc>
          <w:tcPr>
            <w:tcW w:w="1326" w:type="dxa"/>
            <w:tcBorders>
              <w:top w:val="nil"/>
              <w:left w:val="nil"/>
              <w:bottom w:val="nil"/>
              <w:right w:val="nil"/>
            </w:tcBorders>
            <w:shd w:val="clear" w:color="auto" w:fill="auto"/>
            <w:noWrap/>
            <w:vAlign w:val="center"/>
            <w:hideMark/>
          </w:tcPr>
          <w:p w14:paraId="222F5367"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320,000</w:t>
            </w:r>
          </w:p>
        </w:tc>
        <w:tc>
          <w:tcPr>
            <w:tcW w:w="1367" w:type="dxa"/>
            <w:tcBorders>
              <w:top w:val="nil"/>
              <w:left w:val="nil"/>
              <w:bottom w:val="nil"/>
              <w:right w:val="nil"/>
            </w:tcBorders>
            <w:shd w:val="clear" w:color="auto" w:fill="auto"/>
            <w:noWrap/>
            <w:vAlign w:val="bottom"/>
            <w:hideMark/>
          </w:tcPr>
          <w:p w14:paraId="0C9F5523"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0.403</w:t>
            </w:r>
          </w:p>
        </w:tc>
      </w:tr>
      <w:tr w:rsidR="000F7C00" w:rsidRPr="007A67E4" w14:paraId="482B1FAF" w14:textId="77777777" w:rsidTr="0018258B">
        <w:trPr>
          <w:trHeight w:val="310"/>
        </w:trPr>
        <w:tc>
          <w:tcPr>
            <w:tcW w:w="4425" w:type="dxa"/>
            <w:tcBorders>
              <w:top w:val="nil"/>
              <w:left w:val="nil"/>
              <w:bottom w:val="nil"/>
              <w:right w:val="nil"/>
            </w:tcBorders>
            <w:shd w:val="clear" w:color="auto" w:fill="auto"/>
            <w:noWrap/>
            <w:vAlign w:val="center"/>
            <w:hideMark/>
          </w:tcPr>
          <w:p w14:paraId="1090AE47" w14:textId="77777777" w:rsidR="000F7C00" w:rsidRPr="007A67E4" w:rsidRDefault="000F7C00" w:rsidP="00211FA3">
            <w:pPr>
              <w:spacing w:after="0" w:line="240" w:lineRule="auto"/>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 xml:space="preserve">     Men</w:t>
            </w:r>
          </w:p>
        </w:tc>
        <w:tc>
          <w:tcPr>
            <w:tcW w:w="1129" w:type="dxa"/>
            <w:tcBorders>
              <w:top w:val="nil"/>
              <w:left w:val="nil"/>
              <w:bottom w:val="nil"/>
              <w:right w:val="nil"/>
            </w:tcBorders>
            <w:shd w:val="clear" w:color="auto" w:fill="auto"/>
            <w:noWrap/>
            <w:vAlign w:val="center"/>
            <w:hideMark/>
          </w:tcPr>
          <w:p w14:paraId="197A937E"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24,000</w:t>
            </w:r>
          </w:p>
        </w:tc>
        <w:tc>
          <w:tcPr>
            <w:tcW w:w="1129" w:type="dxa"/>
            <w:tcBorders>
              <w:top w:val="nil"/>
              <w:left w:val="nil"/>
              <w:bottom w:val="nil"/>
              <w:right w:val="nil"/>
            </w:tcBorders>
            <w:shd w:val="clear" w:color="auto" w:fill="auto"/>
            <w:noWrap/>
            <w:vAlign w:val="center"/>
            <w:hideMark/>
          </w:tcPr>
          <w:p w14:paraId="0E78F702"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35,000</w:t>
            </w:r>
          </w:p>
        </w:tc>
        <w:tc>
          <w:tcPr>
            <w:tcW w:w="1129" w:type="dxa"/>
            <w:tcBorders>
              <w:top w:val="nil"/>
              <w:left w:val="nil"/>
              <w:bottom w:val="nil"/>
              <w:right w:val="nil"/>
            </w:tcBorders>
            <w:shd w:val="clear" w:color="auto" w:fill="auto"/>
            <w:noWrap/>
            <w:vAlign w:val="center"/>
            <w:hideMark/>
          </w:tcPr>
          <w:p w14:paraId="51A8BDF9"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55,000</w:t>
            </w:r>
          </w:p>
        </w:tc>
        <w:tc>
          <w:tcPr>
            <w:tcW w:w="1129" w:type="dxa"/>
            <w:tcBorders>
              <w:top w:val="nil"/>
              <w:left w:val="nil"/>
              <w:bottom w:val="nil"/>
              <w:right w:val="nil"/>
            </w:tcBorders>
            <w:shd w:val="clear" w:color="auto" w:fill="auto"/>
            <w:noWrap/>
            <w:vAlign w:val="center"/>
            <w:hideMark/>
          </w:tcPr>
          <w:p w14:paraId="518CE6C7"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85,000</w:t>
            </w:r>
          </w:p>
        </w:tc>
        <w:tc>
          <w:tcPr>
            <w:tcW w:w="1326" w:type="dxa"/>
            <w:tcBorders>
              <w:top w:val="nil"/>
              <w:left w:val="nil"/>
              <w:bottom w:val="nil"/>
              <w:right w:val="nil"/>
            </w:tcBorders>
            <w:shd w:val="clear" w:color="auto" w:fill="auto"/>
            <w:noWrap/>
            <w:vAlign w:val="center"/>
            <w:hideMark/>
          </w:tcPr>
          <w:p w14:paraId="257E3AA9"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134,000</w:t>
            </w:r>
          </w:p>
        </w:tc>
        <w:tc>
          <w:tcPr>
            <w:tcW w:w="1326" w:type="dxa"/>
            <w:tcBorders>
              <w:top w:val="nil"/>
              <w:left w:val="nil"/>
              <w:bottom w:val="nil"/>
              <w:right w:val="nil"/>
            </w:tcBorders>
            <w:shd w:val="clear" w:color="auto" w:fill="auto"/>
            <w:noWrap/>
            <w:vAlign w:val="center"/>
            <w:hideMark/>
          </w:tcPr>
          <w:p w14:paraId="769D1B1D"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400,000</w:t>
            </w:r>
          </w:p>
        </w:tc>
        <w:tc>
          <w:tcPr>
            <w:tcW w:w="1367" w:type="dxa"/>
            <w:tcBorders>
              <w:top w:val="nil"/>
              <w:left w:val="nil"/>
              <w:bottom w:val="nil"/>
              <w:right w:val="nil"/>
            </w:tcBorders>
            <w:shd w:val="clear" w:color="auto" w:fill="auto"/>
            <w:noWrap/>
            <w:vAlign w:val="bottom"/>
            <w:hideMark/>
          </w:tcPr>
          <w:p w14:paraId="042630CF"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0.409</w:t>
            </w:r>
          </w:p>
        </w:tc>
      </w:tr>
      <w:tr w:rsidR="000F7C00" w:rsidRPr="007A67E4" w14:paraId="0C8A28CE" w14:textId="77777777" w:rsidTr="0018258B">
        <w:trPr>
          <w:trHeight w:val="310"/>
        </w:trPr>
        <w:tc>
          <w:tcPr>
            <w:tcW w:w="4425" w:type="dxa"/>
            <w:tcBorders>
              <w:top w:val="nil"/>
              <w:left w:val="nil"/>
              <w:bottom w:val="nil"/>
              <w:right w:val="nil"/>
            </w:tcBorders>
            <w:shd w:val="clear" w:color="auto" w:fill="auto"/>
            <w:noWrap/>
            <w:vAlign w:val="center"/>
            <w:hideMark/>
          </w:tcPr>
          <w:p w14:paraId="396B560A" w14:textId="77777777" w:rsidR="000F7C00" w:rsidRPr="007A67E4" w:rsidRDefault="000F7C00" w:rsidP="00211FA3">
            <w:pPr>
              <w:spacing w:after="0" w:line="240" w:lineRule="auto"/>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 xml:space="preserve">     Women</w:t>
            </w:r>
          </w:p>
        </w:tc>
        <w:tc>
          <w:tcPr>
            <w:tcW w:w="1129" w:type="dxa"/>
            <w:tcBorders>
              <w:top w:val="nil"/>
              <w:left w:val="nil"/>
              <w:bottom w:val="nil"/>
              <w:right w:val="nil"/>
            </w:tcBorders>
            <w:shd w:val="clear" w:color="auto" w:fill="auto"/>
            <w:noWrap/>
            <w:vAlign w:val="center"/>
            <w:hideMark/>
          </w:tcPr>
          <w:p w14:paraId="65D092D3"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20,000</w:t>
            </w:r>
          </w:p>
        </w:tc>
        <w:tc>
          <w:tcPr>
            <w:tcW w:w="1129" w:type="dxa"/>
            <w:tcBorders>
              <w:top w:val="nil"/>
              <w:left w:val="nil"/>
              <w:bottom w:val="nil"/>
              <w:right w:val="nil"/>
            </w:tcBorders>
            <w:shd w:val="clear" w:color="auto" w:fill="auto"/>
            <w:noWrap/>
            <w:vAlign w:val="center"/>
            <w:hideMark/>
          </w:tcPr>
          <w:p w14:paraId="0D9D96A7"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30,000</w:t>
            </w:r>
          </w:p>
        </w:tc>
        <w:tc>
          <w:tcPr>
            <w:tcW w:w="1129" w:type="dxa"/>
            <w:tcBorders>
              <w:top w:val="nil"/>
              <w:left w:val="nil"/>
              <w:bottom w:val="nil"/>
              <w:right w:val="nil"/>
            </w:tcBorders>
            <w:shd w:val="clear" w:color="auto" w:fill="auto"/>
            <w:noWrap/>
            <w:vAlign w:val="center"/>
            <w:hideMark/>
          </w:tcPr>
          <w:p w14:paraId="71A92AA7"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45,000</w:t>
            </w:r>
          </w:p>
        </w:tc>
        <w:tc>
          <w:tcPr>
            <w:tcW w:w="1129" w:type="dxa"/>
            <w:tcBorders>
              <w:top w:val="nil"/>
              <w:left w:val="nil"/>
              <w:bottom w:val="nil"/>
              <w:right w:val="nil"/>
            </w:tcBorders>
            <w:shd w:val="clear" w:color="auto" w:fill="auto"/>
            <w:noWrap/>
            <w:vAlign w:val="center"/>
            <w:hideMark/>
          </w:tcPr>
          <w:p w14:paraId="01D64C65"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68,000</w:t>
            </w:r>
          </w:p>
        </w:tc>
        <w:tc>
          <w:tcPr>
            <w:tcW w:w="1326" w:type="dxa"/>
            <w:tcBorders>
              <w:top w:val="nil"/>
              <w:left w:val="nil"/>
              <w:bottom w:val="nil"/>
              <w:right w:val="nil"/>
            </w:tcBorders>
            <w:shd w:val="clear" w:color="auto" w:fill="auto"/>
            <w:noWrap/>
            <w:vAlign w:val="center"/>
            <w:hideMark/>
          </w:tcPr>
          <w:p w14:paraId="153D7EC2"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100,000</w:t>
            </w:r>
          </w:p>
        </w:tc>
        <w:tc>
          <w:tcPr>
            <w:tcW w:w="1326" w:type="dxa"/>
            <w:tcBorders>
              <w:top w:val="nil"/>
              <w:left w:val="nil"/>
              <w:bottom w:val="nil"/>
              <w:right w:val="nil"/>
            </w:tcBorders>
            <w:shd w:val="clear" w:color="auto" w:fill="auto"/>
            <w:noWrap/>
            <w:vAlign w:val="center"/>
            <w:hideMark/>
          </w:tcPr>
          <w:p w14:paraId="73349791"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260,000</w:t>
            </w:r>
          </w:p>
        </w:tc>
        <w:tc>
          <w:tcPr>
            <w:tcW w:w="1367" w:type="dxa"/>
            <w:tcBorders>
              <w:top w:val="nil"/>
              <w:left w:val="nil"/>
              <w:bottom w:val="nil"/>
              <w:right w:val="nil"/>
            </w:tcBorders>
            <w:shd w:val="clear" w:color="auto" w:fill="auto"/>
            <w:noWrap/>
            <w:vAlign w:val="bottom"/>
            <w:hideMark/>
          </w:tcPr>
          <w:p w14:paraId="43A78445"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0.383</w:t>
            </w:r>
          </w:p>
        </w:tc>
      </w:tr>
      <w:tr w:rsidR="000F7C00" w:rsidRPr="007A67E4" w14:paraId="0EBA7A0D" w14:textId="77777777" w:rsidTr="0018258B">
        <w:trPr>
          <w:trHeight w:val="310"/>
        </w:trPr>
        <w:tc>
          <w:tcPr>
            <w:tcW w:w="4425" w:type="dxa"/>
            <w:tcBorders>
              <w:top w:val="nil"/>
              <w:left w:val="nil"/>
              <w:bottom w:val="nil"/>
              <w:right w:val="nil"/>
            </w:tcBorders>
            <w:shd w:val="clear" w:color="auto" w:fill="auto"/>
            <w:noWrap/>
            <w:vAlign w:val="center"/>
            <w:hideMark/>
          </w:tcPr>
          <w:p w14:paraId="2B4C233B" w14:textId="77777777" w:rsidR="000F7C00" w:rsidRPr="007A67E4" w:rsidRDefault="000F7C00" w:rsidP="00211FA3">
            <w:pPr>
              <w:spacing w:after="0" w:line="240" w:lineRule="auto"/>
              <w:rPr>
                <w:rFonts w:ascii="Times New Roman" w:eastAsia="Times New Roman" w:hAnsi="Times New Roman" w:cs="Times New Roman"/>
                <w:i/>
                <w:iCs/>
                <w:color w:val="000000"/>
                <w:sz w:val="24"/>
                <w:szCs w:val="24"/>
              </w:rPr>
            </w:pPr>
            <w:r w:rsidRPr="007A67E4">
              <w:rPr>
                <w:rFonts w:ascii="Times New Roman" w:eastAsia="Times New Roman" w:hAnsi="Times New Roman" w:cs="Times New Roman"/>
                <w:i/>
                <w:iCs/>
                <w:color w:val="000000"/>
                <w:sz w:val="24"/>
                <w:szCs w:val="24"/>
              </w:rPr>
              <w:t>All individuals</w:t>
            </w:r>
          </w:p>
        </w:tc>
        <w:tc>
          <w:tcPr>
            <w:tcW w:w="1129" w:type="dxa"/>
            <w:tcBorders>
              <w:top w:val="nil"/>
              <w:left w:val="nil"/>
              <w:bottom w:val="nil"/>
              <w:right w:val="nil"/>
            </w:tcBorders>
            <w:shd w:val="clear" w:color="auto" w:fill="auto"/>
            <w:noWrap/>
            <w:vAlign w:val="center"/>
            <w:hideMark/>
          </w:tcPr>
          <w:p w14:paraId="22F05159" w14:textId="77777777" w:rsidR="000F7C00" w:rsidRPr="007A67E4" w:rsidRDefault="000F7C00" w:rsidP="00211FA3">
            <w:pPr>
              <w:spacing w:after="0" w:line="240" w:lineRule="auto"/>
              <w:rPr>
                <w:rFonts w:ascii="Times New Roman" w:eastAsia="Times New Roman" w:hAnsi="Times New Roman" w:cs="Times New Roman"/>
                <w:i/>
                <w:iCs/>
                <w:color w:val="000000"/>
                <w:sz w:val="24"/>
                <w:szCs w:val="24"/>
              </w:rPr>
            </w:pPr>
          </w:p>
        </w:tc>
        <w:tc>
          <w:tcPr>
            <w:tcW w:w="1129" w:type="dxa"/>
            <w:tcBorders>
              <w:top w:val="nil"/>
              <w:left w:val="nil"/>
              <w:bottom w:val="nil"/>
              <w:right w:val="nil"/>
            </w:tcBorders>
            <w:shd w:val="clear" w:color="auto" w:fill="auto"/>
            <w:noWrap/>
            <w:vAlign w:val="center"/>
            <w:hideMark/>
          </w:tcPr>
          <w:p w14:paraId="786D7EAC" w14:textId="77777777" w:rsidR="000F7C00" w:rsidRPr="007A67E4" w:rsidRDefault="000F7C00" w:rsidP="00211FA3">
            <w:pPr>
              <w:spacing w:after="0" w:line="240" w:lineRule="auto"/>
              <w:rPr>
                <w:rFonts w:ascii="Times New Roman" w:eastAsia="Times New Roman" w:hAnsi="Times New Roman" w:cs="Times New Roman"/>
                <w:sz w:val="20"/>
                <w:szCs w:val="20"/>
              </w:rPr>
            </w:pPr>
          </w:p>
        </w:tc>
        <w:tc>
          <w:tcPr>
            <w:tcW w:w="1129" w:type="dxa"/>
            <w:tcBorders>
              <w:top w:val="nil"/>
              <w:left w:val="nil"/>
              <w:bottom w:val="nil"/>
              <w:right w:val="nil"/>
            </w:tcBorders>
            <w:shd w:val="clear" w:color="auto" w:fill="auto"/>
            <w:noWrap/>
            <w:vAlign w:val="center"/>
            <w:hideMark/>
          </w:tcPr>
          <w:p w14:paraId="1BA1874B" w14:textId="77777777" w:rsidR="000F7C00" w:rsidRPr="007A67E4" w:rsidRDefault="000F7C00" w:rsidP="00211FA3">
            <w:pPr>
              <w:spacing w:after="0" w:line="240" w:lineRule="auto"/>
              <w:rPr>
                <w:rFonts w:ascii="Times New Roman" w:eastAsia="Times New Roman" w:hAnsi="Times New Roman" w:cs="Times New Roman"/>
                <w:sz w:val="20"/>
                <w:szCs w:val="20"/>
              </w:rPr>
            </w:pPr>
          </w:p>
        </w:tc>
        <w:tc>
          <w:tcPr>
            <w:tcW w:w="1129" w:type="dxa"/>
            <w:tcBorders>
              <w:top w:val="nil"/>
              <w:left w:val="nil"/>
              <w:bottom w:val="nil"/>
              <w:right w:val="nil"/>
            </w:tcBorders>
            <w:shd w:val="clear" w:color="auto" w:fill="auto"/>
            <w:noWrap/>
            <w:vAlign w:val="center"/>
            <w:hideMark/>
          </w:tcPr>
          <w:p w14:paraId="1ED01700" w14:textId="77777777" w:rsidR="000F7C00" w:rsidRPr="007A67E4" w:rsidRDefault="000F7C00" w:rsidP="00211FA3">
            <w:pPr>
              <w:spacing w:after="0" w:line="240" w:lineRule="auto"/>
              <w:rPr>
                <w:rFonts w:ascii="Times New Roman" w:eastAsia="Times New Roman" w:hAnsi="Times New Roman" w:cs="Times New Roman"/>
                <w:sz w:val="20"/>
                <w:szCs w:val="20"/>
              </w:rPr>
            </w:pPr>
          </w:p>
        </w:tc>
        <w:tc>
          <w:tcPr>
            <w:tcW w:w="1326" w:type="dxa"/>
            <w:tcBorders>
              <w:top w:val="nil"/>
              <w:left w:val="nil"/>
              <w:bottom w:val="nil"/>
              <w:right w:val="nil"/>
            </w:tcBorders>
            <w:shd w:val="clear" w:color="auto" w:fill="auto"/>
            <w:noWrap/>
            <w:vAlign w:val="center"/>
            <w:hideMark/>
          </w:tcPr>
          <w:p w14:paraId="300F0ACE" w14:textId="77777777" w:rsidR="000F7C00" w:rsidRPr="007A67E4" w:rsidRDefault="000F7C00" w:rsidP="00211FA3">
            <w:pPr>
              <w:spacing w:after="0" w:line="240" w:lineRule="auto"/>
              <w:rPr>
                <w:rFonts w:ascii="Times New Roman" w:eastAsia="Times New Roman" w:hAnsi="Times New Roman" w:cs="Times New Roman"/>
                <w:sz w:val="20"/>
                <w:szCs w:val="20"/>
              </w:rPr>
            </w:pPr>
          </w:p>
        </w:tc>
        <w:tc>
          <w:tcPr>
            <w:tcW w:w="1326" w:type="dxa"/>
            <w:tcBorders>
              <w:top w:val="nil"/>
              <w:left w:val="nil"/>
              <w:bottom w:val="nil"/>
              <w:right w:val="nil"/>
            </w:tcBorders>
            <w:shd w:val="clear" w:color="auto" w:fill="auto"/>
            <w:noWrap/>
            <w:vAlign w:val="center"/>
            <w:hideMark/>
          </w:tcPr>
          <w:p w14:paraId="4C1E5654" w14:textId="77777777" w:rsidR="000F7C00" w:rsidRPr="007A67E4" w:rsidRDefault="000F7C00" w:rsidP="00211FA3">
            <w:pPr>
              <w:spacing w:after="0" w:line="240" w:lineRule="auto"/>
              <w:rPr>
                <w:rFonts w:ascii="Times New Roman" w:eastAsia="Times New Roman" w:hAnsi="Times New Roman" w:cs="Times New Roman"/>
                <w:sz w:val="20"/>
                <w:szCs w:val="20"/>
              </w:rPr>
            </w:pPr>
          </w:p>
        </w:tc>
        <w:tc>
          <w:tcPr>
            <w:tcW w:w="1367" w:type="dxa"/>
            <w:tcBorders>
              <w:top w:val="nil"/>
              <w:left w:val="nil"/>
              <w:bottom w:val="nil"/>
              <w:right w:val="nil"/>
            </w:tcBorders>
            <w:shd w:val="clear" w:color="auto" w:fill="auto"/>
            <w:noWrap/>
            <w:vAlign w:val="bottom"/>
            <w:hideMark/>
          </w:tcPr>
          <w:p w14:paraId="42E2B805" w14:textId="77777777" w:rsidR="000F7C00" w:rsidRPr="007A67E4" w:rsidRDefault="000F7C00" w:rsidP="00211FA3">
            <w:pPr>
              <w:spacing w:after="0" w:line="240" w:lineRule="auto"/>
              <w:rPr>
                <w:rFonts w:ascii="Times New Roman" w:eastAsia="Times New Roman" w:hAnsi="Times New Roman" w:cs="Times New Roman"/>
                <w:sz w:val="20"/>
                <w:szCs w:val="20"/>
              </w:rPr>
            </w:pPr>
          </w:p>
        </w:tc>
      </w:tr>
      <w:tr w:rsidR="000F7C00" w:rsidRPr="007A67E4" w14:paraId="4D2CF01F" w14:textId="77777777" w:rsidTr="0018258B">
        <w:trPr>
          <w:trHeight w:val="310"/>
        </w:trPr>
        <w:tc>
          <w:tcPr>
            <w:tcW w:w="4425" w:type="dxa"/>
            <w:tcBorders>
              <w:top w:val="nil"/>
              <w:left w:val="nil"/>
              <w:bottom w:val="nil"/>
              <w:right w:val="nil"/>
            </w:tcBorders>
            <w:shd w:val="clear" w:color="auto" w:fill="auto"/>
            <w:noWrap/>
            <w:vAlign w:val="center"/>
            <w:hideMark/>
          </w:tcPr>
          <w:p w14:paraId="22E8FD38" w14:textId="77777777" w:rsidR="000F7C00" w:rsidRPr="007A67E4" w:rsidRDefault="000F7C00" w:rsidP="00211FA3">
            <w:pPr>
              <w:spacing w:after="0" w:line="240" w:lineRule="auto"/>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 xml:space="preserve">     Men and women</w:t>
            </w:r>
          </w:p>
        </w:tc>
        <w:tc>
          <w:tcPr>
            <w:tcW w:w="1129" w:type="dxa"/>
            <w:tcBorders>
              <w:top w:val="nil"/>
              <w:left w:val="nil"/>
              <w:bottom w:val="nil"/>
              <w:right w:val="nil"/>
            </w:tcBorders>
            <w:shd w:val="clear" w:color="auto" w:fill="auto"/>
            <w:noWrap/>
            <w:vAlign w:val="center"/>
            <w:hideMark/>
          </w:tcPr>
          <w:p w14:paraId="5F472588"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0</w:t>
            </w:r>
          </w:p>
        </w:tc>
        <w:tc>
          <w:tcPr>
            <w:tcW w:w="1129" w:type="dxa"/>
            <w:tcBorders>
              <w:top w:val="nil"/>
              <w:left w:val="nil"/>
              <w:bottom w:val="nil"/>
              <w:right w:val="nil"/>
            </w:tcBorders>
            <w:shd w:val="clear" w:color="auto" w:fill="auto"/>
            <w:noWrap/>
            <w:vAlign w:val="center"/>
            <w:hideMark/>
          </w:tcPr>
          <w:p w14:paraId="4777CA97"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6,500</w:t>
            </w:r>
          </w:p>
        </w:tc>
        <w:tc>
          <w:tcPr>
            <w:tcW w:w="1129" w:type="dxa"/>
            <w:tcBorders>
              <w:top w:val="nil"/>
              <w:left w:val="nil"/>
              <w:bottom w:val="nil"/>
              <w:right w:val="nil"/>
            </w:tcBorders>
            <w:shd w:val="clear" w:color="auto" w:fill="auto"/>
            <w:noWrap/>
            <w:vAlign w:val="center"/>
            <w:hideMark/>
          </w:tcPr>
          <w:p w14:paraId="59A3EA2E"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34,000</w:t>
            </w:r>
          </w:p>
        </w:tc>
        <w:tc>
          <w:tcPr>
            <w:tcW w:w="1129" w:type="dxa"/>
            <w:tcBorders>
              <w:top w:val="nil"/>
              <w:left w:val="nil"/>
              <w:bottom w:val="nil"/>
              <w:right w:val="nil"/>
            </w:tcBorders>
            <w:shd w:val="clear" w:color="auto" w:fill="auto"/>
            <w:noWrap/>
            <w:vAlign w:val="center"/>
            <w:hideMark/>
          </w:tcPr>
          <w:p w14:paraId="005BD310"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60,000</w:t>
            </w:r>
          </w:p>
        </w:tc>
        <w:tc>
          <w:tcPr>
            <w:tcW w:w="1326" w:type="dxa"/>
            <w:tcBorders>
              <w:top w:val="nil"/>
              <w:left w:val="nil"/>
              <w:bottom w:val="nil"/>
              <w:right w:val="nil"/>
            </w:tcBorders>
            <w:shd w:val="clear" w:color="auto" w:fill="auto"/>
            <w:noWrap/>
            <w:vAlign w:val="center"/>
            <w:hideMark/>
          </w:tcPr>
          <w:p w14:paraId="5DBCB2F3"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100,000</w:t>
            </w:r>
          </w:p>
        </w:tc>
        <w:tc>
          <w:tcPr>
            <w:tcW w:w="1326" w:type="dxa"/>
            <w:tcBorders>
              <w:top w:val="nil"/>
              <w:left w:val="nil"/>
              <w:bottom w:val="nil"/>
              <w:right w:val="nil"/>
            </w:tcBorders>
            <w:shd w:val="clear" w:color="auto" w:fill="auto"/>
            <w:noWrap/>
            <w:vAlign w:val="center"/>
            <w:hideMark/>
          </w:tcPr>
          <w:p w14:paraId="2B29FF94"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268,000</w:t>
            </w:r>
          </w:p>
        </w:tc>
        <w:tc>
          <w:tcPr>
            <w:tcW w:w="1367" w:type="dxa"/>
            <w:tcBorders>
              <w:top w:val="nil"/>
              <w:left w:val="nil"/>
              <w:bottom w:val="nil"/>
              <w:right w:val="nil"/>
            </w:tcBorders>
            <w:shd w:val="clear" w:color="auto" w:fill="auto"/>
            <w:noWrap/>
            <w:vAlign w:val="bottom"/>
            <w:hideMark/>
          </w:tcPr>
          <w:p w14:paraId="053E96D4"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0.565</w:t>
            </w:r>
          </w:p>
        </w:tc>
      </w:tr>
      <w:tr w:rsidR="000F7C00" w:rsidRPr="007A67E4" w14:paraId="389E4A87" w14:textId="77777777" w:rsidTr="0018258B">
        <w:trPr>
          <w:trHeight w:val="310"/>
        </w:trPr>
        <w:tc>
          <w:tcPr>
            <w:tcW w:w="4425" w:type="dxa"/>
            <w:tcBorders>
              <w:top w:val="nil"/>
              <w:left w:val="nil"/>
              <w:bottom w:val="nil"/>
              <w:right w:val="nil"/>
            </w:tcBorders>
            <w:shd w:val="clear" w:color="auto" w:fill="auto"/>
            <w:noWrap/>
            <w:vAlign w:val="center"/>
            <w:hideMark/>
          </w:tcPr>
          <w:p w14:paraId="5004BC70" w14:textId="77777777" w:rsidR="000F7C00" w:rsidRPr="007A67E4" w:rsidRDefault="000F7C00" w:rsidP="00211FA3">
            <w:pPr>
              <w:spacing w:after="0" w:line="240" w:lineRule="auto"/>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 xml:space="preserve">     Men</w:t>
            </w:r>
          </w:p>
        </w:tc>
        <w:tc>
          <w:tcPr>
            <w:tcW w:w="1129" w:type="dxa"/>
            <w:tcBorders>
              <w:top w:val="nil"/>
              <w:left w:val="nil"/>
              <w:bottom w:val="nil"/>
              <w:right w:val="nil"/>
            </w:tcBorders>
            <w:shd w:val="clear" w:color="auto" w:fill="auto"/>
            <w:noWrap/>
            <w:vAlign w:val="center"/>
            <w:hideMark/>
          </w:tcPr>
          <w:p w14:paraId="60BDF318"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0</w:t>
            </w:r>
          </w:p>
        </w:tc>
        <w:tc>
          <w:tcPr>
            <w:tcW w:w="1129" w:type="dxa"/>
            <w:tcBorders>
              <w:top w:val="nil"/>
              <w:left w:val="nil"/>
              <w:bottom w:val="nil"/>
              <w:right w:val="nil"/>
            </w:tcBorders>
            <w:shd w:val="clear" w:color="auto" w:fill="auto"/>
            <w:noWrap/>
            <w:vAlign w:val="center"/>
            <w:hideMark/>
          </w:tcPr>
          <w:p w14:paraId="7223DAD3"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20,000</w:t>
            </w:r>
          </w:p>
        </w:tc>
        <w:tc>
          <w:tcPr>
            <w:tcW w:w="1129" w:type="dxa"/>
            <w:tcBorders>
              <w:top w:val="nil"/>
              <w:left w:val="nil"/>
              <w:bottom w:val="nil"/>
              <w:right w:val="nil"/>
            </w:tcBorders>
            <w:shd w:val="clear" w:color="auto" w:fill="auto"/>
            <w:noWrap/>
            <w:vAlign w:val="center"/>
            <w:hideMark/>
          </w:tcPr>
          <w:p w14:paraId="648EBB33"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43,614</w:t>
            </w:r>
          </w:p>
        </w:tc>
        <w:tc>
          <w:tcPr>
            <w:tcW w:w="1129" w:type="dxa"/>
            <w:tcBorders>
              <w:top w:val="nil"/>
              <w:left w:val="nil"/>
              <w:bottom w:val="nil"/>
              <w:right w:val="nil"/>
            </w:tcBorders>
            <w:shd w:val="clear" w:color="auto" w:fill="auto"/>
            <w:noWrap/>
            <w:vAlign w:val="center"/>
            <w:hideMark/>
          </w:tcPr>
          <w:p w14:paraId="52B078C1"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75,000</w:t>
            </w:r>
          </w:p>
        </w:tc>
        <w:tc>
          <w:tcPr>
            <w:tcW w:w="1326" w:type="dxa"/>
            <w:tcBorders>
              <w:top w:val="nil"/>
              <w:left w:val="nil"/>
              <w:bottom w:val="nil"/>
              <w:right w:val="nil"/>
            </w:tcBorders>
            <w:shd w:val="clear" w:color="auto" w:fill="auto"/>
            <w:noWrap/>
            <w:vAlign w:val="center"/>
            <w:hideMark/>
          </w:tcPr>
          <w:p w14:paraId="57156D29"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120,000</w:t>
            </w:r>
          </w:p>
        </w:tc>
        <w:tc>
          <w:tcPr>
            <w:tcW w:w="1326" w:type="dxa"/>
            <w:tcBorders>
              <w:top w:val="nil"/>
              <w:left w:val="nil"/>
              <w:bottom w:val="nil"/>
              <w:right w:val="nil"/>
            </w:tcBorders>
            <w:shd w:val="clear" w:color="auto" w:fill="auto"/>
            <w:noWrap/>
            <w:vAlign w:val="center"/>
            <w:hideMark/>
          </w:tcPr>
          <w:p w14:paraId="6C09B10F"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310,000</w:t>
            </w:r>
          </w:p>
        </w:tc>
        <w:tc>
          <w:tcPr>
            <w:tcW w:w="1367" w:type="dxa"/>
            <w:tcBorders>
              <w:top w:val="nil"/>
              <w:left w:val="nil"/>
              <w:bottom w:val="nil"/>
              <w:right w:val="nil"/>
            </w:tcBorders>
            <w:shd w:val="clear" w:color="auto" w:fill="auto"/>
            <w:noWrap/>
            <w:vAlign w:val="bottom"/>
            <w:hideMark/>
          </w:tcPr>
          <w:p w14:paraId="4ADA6D42"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0.517</w:t>
            </w:r>
          </w:p>
        </w:tc>
      </w:tr>
      <w:tr w:rsidR="000F7C00" w:rsidRPr="007A67E4" w14:paraId="3EE6D2C2" w14:textId="77777777" w:rsidTr="0018258B">
        <w:trPr>
          <w:trHeight w:val="320"/>
        </w:trPr>
        <w:tc>
          <w:tcPr>
            <w:tcW w:w="4425" w:type="dxa"/>
            <w:tcBorders>
              <w:top w:val="nil"/>
              <w:left w:val="nil"/>
              <w:bottom w:val="single" w:sz="8" w:space="0" w:color="auto"/>
              <w:right w:val="nil"/>
            </w:tcBorders>
            <w:shd w:val="clear" w:color="auto" w:fill="auto"/>
            <w:noWrap/>
            <w:vAlign w:val="center"/>
            <w:hideMark/>
          </w:tcPr>
          <w:p w14:paraId="2B9DF6CF" w14:textId="77777777" w:rsidR="000F7C00" w:rsidRPr="007A67E4" w:rsidRDefault="000F7C00" w:rsidP="00211FA3">
            <w:pPr>
              <w:spacing w:after="0" w:line="240" w:lineRule="auto"/>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 xml:space="preserve">     Women</w:t>
            </w:r>
          </w:p>
        </w:tc>
        <w:tc>
          <w:tcPr>
            <w:tcW w:w="1129" w:type="dxa"/>
            <w:tcBorders>
              <w:top w:val="nil"/>
              <w:left w:val="nil"/>
              <w:bottom w:val="single" w:sz="8" w:space="0" w:color="auto"/>
              <w:right w:val="nil"/>
            </w:tcBorders>
            <w:shd w:val="clear" w:color="auto" w:fill="auto"/>
            <w:noWrap/>
            <w:vAlign w:val="center"/>
            <w:hideMark/>
          </w:tcPr>
          <w:p w14:paraId="66122DE7"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0</w:t>
            </w:r>
          </w:p>
        </w:tc>
        <w:tc>
          <w:tcPr>
            <w:tcW w:w="1129" w:type="dxa"/>
            <w:tcBorders>
              <w:top w:val="nil"/>
              <w:left w:val="nil"/>
              <w:bottom w:val="single" w:sz="8" w:space="0" w:color="auto"/>
              <w:right w:val="nil"/>
            </w:tcBorders>
            <w:shd w:val="clear" w:color="auto" w:fill="auto"/>
            <w:noWrap/>
            <w:vAlign w:val="center"/>
            <w:hideMark/>
          </w:tcPr>
          <w:p w14:paraId="6277D46D"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0</w:t>
            </w:r>
          </w:p>
        </w:tc>
        <w:tc>
          <w:tcPr>
            <w:tcW w:w="1129" w:type="dxa"/>
            <w:tcBorders>
              <w:top w:val="nil"/>
              <w:left w:val="nil"/>
              <w:bottom w:val="single" w:sz="8" w:space="0" w:color="auto"/>
              <w:right w:val="nil"/>
            </w:tcBorders>
            <w:shd w:val="clear" w:color="auto" w:fill="auto"/>
            <w:noWrap/>
            <w:vAlign w:val="center"/>
            <w:hideMark/>
          </w:tcPr>
          <w:p w14:paraId="2A1D4DD0"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25,000</w:t>
            </w:r>
          </w:p>
        </w:tc>
        <w:tc>
          <w:tcPr>
            <w:tcW w:w="1129" w:type="dxa"/>
            <w:tcBorders>
              <w:top w:val="nil"/>
              <w:left w:val="nil"/>
              <w:bottom w:val="single" w:sz="8" w:space="0" w:color="auto"/>
              <w:right w:val="nil"/>
            </w:tcBorders>
            <w:shd w:val="clear" w:color="auto" w:fill="auto"/>
            <w:noWrap/>
            <w:vAlign w:val="center"/>
            <w:hideMark/>
          </w:tcPr>
          <w:p w14:paraId="413EF3D6"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50,000</w:t>
            </w:r>
          </w:p>
        </w:tc>
        <w:tc>
          <w:tcPr>
            <w:tcW w:w="1326" w:type="dxa"/>
            <w:tcBorders>
              <w:top w:val="nil"/>
              <w:left w:val="nil"/>
              <w:bottom w:val="single" w:sz="8" w:space="0" w:color="auto"/>
              <w:right w:val="nil"/>
            </w:tcBorders>
            <w:shd w:val="clear" w:color="auto" w:fill="auto"/>
            <w:noWrap/>
            <w:vAlign w:val="center"/>
            <w:hideMark/>
          </w:tcPr>
          <w:p w14:paraId="271D3954"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80,000</w:t>
            </w:r>
          </w:p>
        </w:tc>
        <w:tc>
          <w:tcPr>
            <w:tcW w:w="1326" w:type="dxa"/>
            <w:tcBorders>
              <w:top w:val="nil"/>
              <w:left w:val="nil"/>
              <w:bottom w:val="single" w:sz="8" w:space="0" w:color="auto"/>
              <w:right w:val="nil"/>
            </w:tcBorders>
            <w:shd w:val="clear" w:color="auto" w:fill="auto"/>
            <w:noWrap/>
            <w:vAlign w:val="center"/>
            <w:hideMark/>
          </w:tcPr>
          <w:p w14:paraId="272D042A"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200,000</w:t>
            </w:r>
          </w:p>
        </w:tc>
        <w:tc>
          <w:tcPr>
            <w:tcW w:w="1367" w:type="dxa"/>
            <w:tcBorders>
              <w:top w:val="nil"/>
              <w:left w:val="nil"/>
              <w:bottom w:val="single" w:sz="8" w:space="0" w:color="auto"/>
              <w:right w:val="nil"/>
            </w:tcBorders>
            <w:shd w:val="clear" w:color="auto" w:fill="auto"/>
            <w:noWrap/>
            <w:vAlign w:val="bottom"/>
            <w:hideMark/>
          </w:tcPr>
          <w:p w14:paraId="05057F07" w14:textId="77777777" w:rsidR="000F7C00" w:rsidRPr="007A67E4" w:rsidRDefault="000F7C00" w:rsidP="00211FA3">
            <w:pPr>
              <w:spacing w:after="0" w:line="240" w:lineRule="auto"/>
              <w:jc w:val="right"/>
              <w:rPr>
                <w:rFonts w:ascii="Times New Roman" w:eastAsia="Times New Roman" w:hAnsi="Times New Roman" w:cs="Times New Roman"/>
                <w:color w:val="000000"/>
                <w:sz w:val="24"/>
                <w:szCs w:val="24"/>
              </w:rPr>
            </w:pPr>
            <w:r w:rsidRPr="007A67E4">
              <w:rPr>
                <w:rFonts w:ascii="Times New Roman" w:eastAsia="Times New Roman" w:hAnsi="Times New Roman" w:cs="Times New Roman"/>
                <w:color w:val="000000"/>
                <w:sz w:val="24"/>
                <w:szCs w:val="24"/>
              </w:rPr>
              <w:t>0.598</w:t>
            </w:r>
          </w:p>
        </w:tc>
      </w:tr>
      <w:tr w:rsidR="000F7C00" w:rsidRPr="007A67E4" w14:paraId="458E98B2" w14:textId="77777777" w:rsidTr="0018258B">
        <w:trPr>
          <w:trHeight w:val="20"/>
        </w:trPr>
        <w:tc>
          <w:tcPr>
            <w:tcW w:w="4425" w:type="dxa"/>
            <w:tcBorders>
              <w:top w:val="nil"/>
              <w:left w:val="nil"/>
              <w:bottom w:val="nil"/>
              <w:right w:val="nil"/>
            </w:tcBorders>
            <w:shd w:val="clear" w:color="auto" w:fill="auto"/>
            <w:noWrap/>
            <w:vAlign w:val="bottom"/>
            <w:hideMark/>
          </w:tcPr>
          <w:p w14:paraId="3830448E" w14:textId="77777777" w:rsidR="000F7C00" w:rsidRPr="0018258B" w:rsidRDefault="000F7C00" w:rsidP="00211FA3">
            <w:pPr>
              <w:spacing w:after="0" w:line="240" w:lineRule="auto"/>
              <w:jc w:val="right"/>
              <w:rPr>
                <w:rFonts w:ascii="Times New Roman" w:eastAsia="Times New Roman" w:hAnsi="Times New Roman" w:cs="Times New Roman"/>
                <w:color w:val="000000"/>
                <w:sz w:val="8"/>
                <w:szCs w:val="8"/>
              </w:rPr>
            </w:pPr>
          </w:p>
        </w:tc>
        <w:tc>
          <w:tcPr>
            <w:tcW w:w="1129" w:type="dxa"/>
            <w:tcBorders>
              <w:top w:val="nil"/>
              <w:left w:val="nil"/>
              <w:bottom w:val="nil"/>
              <w:right w:val="nil"/>
            </w:tcBorders>
            <w:shd w:val="clear" w:color="auto" w:fill="auto"/>
            <w:noWrap/>
            <w:vAlign w:val="bottom"/>
            <w:hideMark/>
          </w:tcPr>
          <w:p w14:paraId="2EC2BA87" w14:textId="77777777" w:rsidR="000F7C00" w:rsidRPr="0018258B" w:rsidRDefault="000F7C00" w:rsidP="00211FA3">
            <w:pPr>
              <w:spacing w:after="0" w:line="240" w:lineRule="auto"/>
              <w:rPr>
                <w:rFonts w:ascii="Times New Roman" w:eastAsia="Times New Roman" w:hAnsi="Times New Roman" w:cs="Times New Roman"/>
                <w:sz w:val="8"/>
                <w:szCs w:val="8"/>
              </w:rPr>
            </w:pPr>
          </w:p>
        </w:tc>
        <w:tc>
          <w:tcPr>
            <w:tcW w:w="1129" w:type="dxa"/>
            <w:tcBorders>
              <w:top w:val="nil"/>
              <w:left w:val="nil"/>
              <w:bottom w:val="nil"/>
              <w:right w:val="nil"/>
            </w:tcBorders>
            <w:shd w:val="clear" w:color="auto" w:fill="auto"/>
            <w:noWrap/>
            <w:vAlign w:val="bottom"/>
            <w:hideMark/>
          </w:tcPr>
          <w:p w14:paraId="7F7A96B2" w14:textId="77777777" w:rsidR="000F7C00" w:rsidRPr="0018258B" w:rsidRDefault="000F7C00" w:rsidP="00211FA3">
            <w:pPr>
              <w:spacing w:after="0" w:line="240" w:lineRule="auto"/>
              <w:rPr>
                <w:rFonts w:ascii="Calibri" w:eastAsia="Times New Roman" w:hAnsi="Calibri" w:cs="Calibri"/>
                <w:color w:val="000000"/>
                <w:sz w:val="8"/>
                <w:szCs w:val="8"/>
              </w:rPr>
            </w:pPr>
            <w:r w:rsidRPr="0018258B">
              <w:rPr>
                <w:rFonts w:ascii="Calibri" w:eastAsia="Times New Roman" w:hAnsi="Calibri" w:cs="Calibri"/>
                <w:color w:val="000000"/>
                <w:sz w:val="8"/>
                <w:szCs w:val="8"/>
              </w:rPr>
              <w:t> </w:t>
            </w:r>
          </w:p>
        </w:tc>
        <w:tc>
          <w:tcPr>
            <w:tcW w:w="1129" w:type="dxa"/>
            <w:tcBorders>
              <w:top w:val="nil"/>
              <w:left w:val="nil"/>
              <w:bottom w:val="nil"/>
              <w:right w:val="nil"/>
            </w:tcBorders>
            <w:shd w:val="clear" w:color="auto" w:fill="auto"/>
            <w:noWrap/>
            <w:vAlign w:val="bottom"/>
            <w:hideMark/>
          </w:tcPr>
          <w:p w14:paraId="1CF419B6" w14:textId="77777777" w:rsidR="000F7C00" w:rsidRPr="0018258B" w:rsidRDefault="000F7C00" w:rsidP="00211FA3">
            <w:pPr>
              <w:spacing w:after="0" w:line="240" w:lineRule="auto"/>
              <w:rPr>
                <w:rFonts w:ascii="Calibri" w:eastAsia="Times New Roman" w:hAnsi="Calibri" w:cs="Calibri"/>
                <w:color w:val="000000"/>
                <w:sz w:val="8"/>
                <w:szCs w:val="8"/>
              </w:rPr>
            </w:pPr>
            <w:r w:rsidRPr="0018258B">
              <w:rPr>
                <w:rFonts w:ascii="Calibri" w:eastAsia="Times New Roman" w:hAnsi="Calibri" w:cs="Calibri"/>
                <w:color w:val="000000"/>
                <w:sz w:val="8"/>
                <w:szCs w:val="8"/>
              </w:rPr>
              <w:t> </w:t>
            </w:r>
          </w:p>
        </w:tc>
        <w:tc>
          <w:tcPr>
            <w:tcW w:w="1129" w:type="dxa"/>
            <w:tcBorders>
              <w:top w:val="nil"/>
              <w:left w:val="nil"/>
              <w:bottom w:val="nil"/>
              <w:right w:val="nil"/>
            </w:tcBorders>
            <w:shd w:val="clear" w:color="auto" w:fill="auto"/>
            <w:noWrap/>
            <w:vAlign w:val="bottom"/>
            <w:hideMark/>
          </w:tcPr>
          <w:p w14:paraId="5B8B1616" w14:textId="77777777" w:rsidR="000F7C00" w:rsidRPr="0018258B" w:rsidRDefault="000F7C00" w:rsidP="00211FA3">
            <w:pPr>
              <w:spacing w:after="0" w:line="240" w:lineRule="auto"/>
              <w:rPr>
                <w:rFonts w:ascii="Calibri" w:eastAsia="Times New Roman" w:hAnsi="Calibri" w:cs="Calibri"/>
                <w:color w:val="000000"/>
                <w:sz w:val="8"/>
                <w:szCs w:val="8"/>
              </w:rPr>
            </w:pPr>
            <w:r w:rsidRPr="0018258B">
              <w:rPr>
                <w:rFonts w:ascii="Calibri" w:eastAsia="Times New Roman" w:hAnsi="Calibri" w:cs="Calibri"/>
                <w:color w:val="000000"/>
                <w:sz w:val="8"/>
                <w:szCs w:val="8"/>
              </w:rPr>
              <w:t> </w:t>
            </w:r>
          </w:p>
        </w:tc>
        <w:tc>
          <w:tcPr>
            <w:tcW w:w="1326" w:type="dxa"/>
            <w:tcBorders>
              <w:top w:val="nil"/>
              <w:left w:val="nil"/>
              <w:bottom w:val="nil"/>
              <w:right w:val="nil"/>
            </w:tcBorders>
            <w:shd w:val="clear" w:color="auto" w:fill="auto"/>
            <w:noWrap/>
            <w:vAlign w:val="bottom"/>
            <w:hideMark/>
          </w:tcPr>
          <w:p w14:paraId="01DB21F6" w14:textId="77777777" w:rsidR="000F7C00" w:rsidRPr="0018258B" w:rsidRDefault="000F7C00" w:rsidP="00211FA3">
            <w:pPr>
              <w:spacing w:after="0" w:line="240" w:lineRule="auto"/>
              <w:rPr>
                <w:rFonts w:ascii="Calibri" w:eastAsia="Times New Roman" w:hAnsi="Calibri" w:cs="Calibri"/>
                <w:color w:val="000000"/>
                <w:sz w:val="8"/>
                <w:szCs w:val="8"/>
              </w:rPr>
            </w:pPr>
            <w:r w:rsidRPr="0018258B">
              <w:rPr>
                <w:rFonts w:ascii="Calibri" w:eastAsia="Times New Roman" w:hAnsi="Calibri" w:cs="Calibri"/>
                <w:color w:val="000000"/>
                <w:sz w:val="8"/>
                <w:szCs w:val="8"/>
              </w:rPr>
              <w:t> </w:t>
            </w:r>
          </w:p>
        </w:tc>
        <w:tc>
          <w:tcPr>
            <w:tcW w:w="1326" w:type="dxa"/>
            <w:tcBorders>
              <w:top w:val="nil"/>
              <w:left w:val="nil"/>
              <w:bottom w:val="nil"/>
              <w:right w:val="nil"/>
            </w:tcBorders>
            <w:shd w:val="clear" w:color="auto" w:fill="auto"/>
            <w:noWrap/>
            <w:vAlign w:val="bottom"/>
            <w:hideMark/>
          </w:tcPr>
          <w:p w14:paraId="4EB29749" w14:textId="77777777" w:rsidR="000F7C00" w:rsidRPr="0018258B" w:rsidRDefault="000F7C00" w:rsidP="00211FA3">
            <w:pPr>
              <w:spacing w:after="0" w:line="240" w:lineRule="auto"/>
              <w:rPr>
                <w:rFonts w:ascii="Calibri" w:eastAsia="Times New Roman" w:hAnsi="Calibri" w:cs="Calibri"/>
                <w:color w:val="000000"/>
                <w:sz w:val="8"/>
                <w:szCs w:val="8"/>
              </w:rPr>
            </w:pPr>
            <w:r w:rsidRPr="0018258B">
              <w:rPr>
                <w:rFonts w:ascii="Calibri" w:eastAsia="Times New Roman" w:hAnsi="Calibri" w:cs="Calibri"/>
                <w:color w:val="000000"/>
                <w:sz w:val="8"/>
                <w:szCs w:val="8"/>
              </w:rPr>
              <w:t> </w:t>
            </w:r>
          </w:p>
        </w:tc>
        <w:tc>
          <w:tcPr>
            <w:tcW w:w="1367" w:type="dxa"/>
            <w:tcBorders>
              <w:top w:val="nil"/>
              <w:left w:val="nil"/>
              <w:bottom w:val="nil"/>
              <w:right w:val="nil"/>
            </w:tcBorders>
            <w:shd w:val="clear" w:color="auto" w:fill="auto"/>
            <w:noWrap/>
            <w:vAlign w:val="bottom"/>
            <w:hideMark/>
          </w:tcPr>
          <w:p w14:paraId="346298D9" w14:textId="77777777" w:rsidR="000F7C00" w:rsidRPr="0018258B" w:rsidRDefault="000F7C00" w:rsidP="00211FA3">
            <w:pPr>
              <w:spacing w:after="0" w:line="240" w:lineRule="auto"/>
              <w:rPr>
                <w:rFonts w:ascii="Calibri" w:eastAsia="Times New Roman" w:hAnsi="Calibri" w:cs="Calibri"/>
                <w:color w:val="000000"/>
                <w:sz w:val="8"/>
                <w:szCs w:val="8"/>
              </w:rPr>
            </w:pPr>
          </w:p>
        </w:tc>
      </w:tr>
      <w:tr w:rsidR="000F7C00" w:rsidRPr="007A67E4" w14:paraId="1FC700F9" w14:textId="77777777" w:rsidTr="0018258B">
        <w:trPr>
          <w:trHeight w:val="1040"/>
        </w:trPr>
        <w:tc>
          <w:tcPr>
            <w:tcW w:w="12960" w:type="dxa"/>
            <w:gridSpan w:val="8"/>
            <w:tcBorders>
              <w:top w:val="nil"/>
              <w:left w:val="nil"/>
              <w:bottom w:val="nil"/>
              <w:right w:val="nil"/>
            </w:tcBorders>
            <w:shd w:val="clear" w:color="auto" w:fill="auto"/>
            <w:hideMark/>
          </w:tcPr>
          <w:p w14:paraId="0A84B2AB" w14:textId="50CC1A77" w:rsidR="000F7C00" w:rsidRPr="007A67E4" w:rsidRDefault="000F7C00" w:rsidP="00211FA3">
            <w:pPr>
              <w:spacing w:after="0" w:line="240" w:lineRule="auto"/>
              <w:rPr>
                <w:rFonts w:ascii="Times New Roman" w:eastAsia="Times New Roman" w:hAnsi="Times New Roman" w:cs="Times New Roman"/>
                <w:color w:val="000000"/>
                <w:sz w:val="20"/>
                <w:szCs w:val="20"/>
              </w:rPr>
            </w:pPr>
            <w:r w:rsidRPr="008640AF">
              <w:rPr>
                <w:rFonts w:ascii="Times New Roman" w:eastAsia="Times New Roman" w:hAnsi="Times New Roman" w:cs="Times New Roman"/>
                <w:i/>
                <w:color w:val="000000"/>
                <w:sz w:val="20"/>
                <w:szCs w:val="20"/>
              </w:rPr>
              <w:t>Note</w:t>
            </w:r>
            <w:r w:rsidRPr="007A67E4">
              <w:rPr>
                <w:rFonts w:ascii="Times New Roman" w:eastAsia="Times New Roman" w:hAnsi="Times New Roman" w:cs="Times New Roman"/>
                <w:color w:val="000000"/>
                <w:sz w:val="20"/>
                <w:szCs w:val="20"/>
              </w:rPr>
              <w:t xml:space="preserve">: Statistics </w:t>
            </w:r>
            <w:proofErr w:type="gramStart"/>
            <w:r w:rsidRPr="007A67E4">
              <w:rPr>
                <w:rFonts w:ascii="Times New Roman" w:eastAsia="Times New Roman" w:hAnsi="Times New Roman" w:cs="Times New Roman"/>
                <w:color w:val="000000"/>
                <w:sz w:val="20"/>
                <w:szCs w:val="20"/>
              </w:rPr>
              <w:t>are calculated</w:t>
            </w:r>
            <w:proofErr w:type="gramEnd"/>
            <w:r w:rsidRPr="007A67E4">
              <w:rPr>
                <w:rFonts w:ascii="Times New Roman" w:eastAsia="Times New Roman" w:hAnsi="Times New Roman" w:cs="Times New Roman"/>
                <w:color w:val="000000"/>
                <w:sz w:val="20"/>
                <w:szCs w:val="20"/>
              </w:rPr>
              <w:t xml:space="preserve"> for civilian men and women ages 25 to 54. Earnings are defined as the sum of annual wage, salary, and positive business income, adjusted for inflation (to 2018 dollars) using the personal consumption expenditures (PCE) deflator of the Bureau of Economic Analysis. Employment </w:t>
            </w:r>
            <w:proofErr w:type="gramStart"/>
            <w:r w:rsidRPr="007A67E4">
              <w:rPr>
                <w:rFonts w:ascii="Times New Roman" w:eastAsia="Times New Roman" w:hAnsi="Times New Roman" w:cs="Times New Roman"/>
                <w:color w:val="000000"/>
                <w:sz w:val="20"/>
                <w:szCs w:val="20"/>
              </w:rPr>
              <w:t>is defined</w:t>
            </w:r>
            <w:proofErr w:type="gramEnd"/>
            <w:r w:rsidRPr="007A67E4">
              <w:rPr>
                <w:rFonts w:ascii="Times New Roman" w:eastAsia="Times New Roman" w:hAnsi="Times New Roman" w:cs="Times New Roman"/>
                <w:color w:val="000000"/>
                <w:sz w:val="20"/>
                <w:szCs w:val="20"/>
              </w:rPr>
              <w:t xml:space="preserve"> as having positive earnings in the reference year, and full-time, full-year workers are those working at least </w:t>
            </w:r>
            <w:r w:rsidR="001C2D0D">
              <w:rPr>
                <w:rFonts w:ascii="Times New Roman" w:eastAsia="Times New Roman" w:hAnsi="Times New Roman" w:cs="Times New Roman"/>
                <w:color w:val="000000"/>
                <w:sz w:val="20"/>
                <w:szCs w:val="20"/>
              </w:rPr>
              <w:t>4</w:t>
            </w:r>
            <w:r w:rsidRPr="007A67E4">
              <w:rPr>
                <w:rFonts w:ascii="Times New Roman" w:eastAsia="Times New Roman" w:hAnsi="Times New Roman" w:cs="Times New Roman"/>
                <w:color w:val="000000"/>
                <w:sz w:val="20"/>
                <w:szCs w:val="20"/>
              </w:rPr>
              <w:t>0 weeks in the previous calendar year and at least 35 hours usually worked per week.</w:t>
            </w:r>
          </w:p>
        </w:tc>
      </w:tr>
      <w:tr w:rsidR="000F7C00" w:rsidRPr="007A67E4" w14:paraId="46D33C15" w14:textId="77777777" w:rsidTr="0018258B">
        <w:trPr>
          <w:trHeight w:val="290"/>
        </w:trPr>
        <w:tc>
          <w:tcPr>
            <w:tcW w:w="12960" w:type="dxa"/>
            <w:gridSpan w:val="8"/>
            <w:tcBorders>
              <w:top w:val="nil"/>
              <w:left w:val="nil"/>
              <w:bottom w:val="nil"/>
              <w:right w:val="nil"/>
            </w:tcBorders>
            <w:shd w:val="clear" w:color="auto" w:fill="auto"/>
            <w:vAlign w:val="center"/>
            <w:hideMark/>
          </w:tcPr>
          <w:p w14:paraId="307D026F" w14:textId="77777777" w:rsidR="000F7C00" w:rsidRPr="007A67E4" w:rsidRDefault="000F7C00" w:rsidP="00211FA3">
            <w:pPr>
              <w:spacing w:after="0" w:line="240" w:lineRule="auto"/>
              <w:rPr>
                <w:rFonts w:ascii="Times New Roman" w:eastAsia="Times New Roman" w:hAnsi="Times New Roman" w:cs="Times New Roman"/>
                <w:color w:val="000000"/>
                <w:sz w:val="20"/>
                <w:szCs w:val="20"/>
              </w:rPr>
            </w:pPr>
            <w:r w:rsidRPr="008640AF">
              <w:rPr>
                <w:rFonts w:ascii="Times New Roman" w:eastAsia="Times New Roman" w:hAnsi="Times New Roman" w:cs="Times New Roman"/>
                <w:i/>
                <w:color w:val="000000"/>
                <w:sz w:val="20"/>
                <w:szCs w:val="20"/>
              </w:rPr>
              <w:t>Source</w:t>
            </w:r>
            <w:r w:rsidRPr="007A67E4">
              <w:rPr>
                <w:rFonts w:ascii="Times New Roman" w:eastAsia="Times New Roman" w:hAnsi="Times New Roman" w:cs="Times New Roman"/>
                <w:color w:val="000000"/>
                <w:sz w:val="20"/>
                <w:szCs w:val="20"/>
              </w:rPr>
              <w:t xml:space="preserve">: Authors’ calculations of March Current Population Survey 1980 and 2019 (Flood et al., 2019). </w:t>
            </w:r>
          </w:p>
        </w:tc>
      </w:tr>
    </w:tbl>
    <w:p w14:paraId="30B4D0B7" w14:textId="77777777" w:rsidR="000F7C00" w:rsidRDefault="000F7C00" w:rsidP="000F7C00"/>
    <w:tbl>
      <w:tblPr>
        <w:tblW w:w="14236" w:type="dxa"/>
        <w:jc w:val="center"/>
        <w:tblLook w:val="04A0" w:firstRow="1" w:lastRow="0" w:firstColumn="1" w:lastColumn="0" w:noHBand="0" w:noVBand="1"/>
      </w:tblPr>
      <w:tblGrid>
        <w:gridCol w:w="1486"/>
        <w:gridCol w:w="1096"/>
        <w:gridCol w:w="1075"/>
        <w:gridCol w:w="956"/>
        <w:gridCol w:w="222"/>
        <w:gridCol w:w="1096"/>
        <w:gridCol w:w="956"/>
        <w:gridCol w:w="956"/>
        <w:gridCol w:w="222"/>
        <w:gridCol w:w="1096"/>
        <w:gridCol w:w="883"/>
        <w:gridCol w:w="883"/>
        <w:gridCol w:w="222"/>
        <w:gridCol w:w="1096"/>
        <w:gridCol w:w="956"/>
        <w:gridCol w:w="1035"/>
      </w:tblGrid>
      <w:tr w:rsidR="000F7C00" w:rsidRPr="00F46D68" w14:paraId="49AEBE8D" w14:textId="77777777" w:rsidTr="00211FA3">
        <w:trPr>
          <w:trHeight w:val="284"/>
          <w:jc w:val="center"/>
        </w:trPr>
        <w:tc>
          <w:tcPr>
            <w:tcW w:w="14236" w:type="dxa"/>
            <w:gridSpan w:val="16"/>
            <w:tcBorders>
              <w:top w:val="nil"/>
              <w:left w:val="nil"/>
              <w:bottom w:val="single" w:sz="4" w:space="0" w:color="auto"/>
              <w:right w:val="nil"/>
            </w:tcBorders>
            <w:shd w:val="clear" w:color="auto" w:fill="auto"/>
            <w:noWrap/>
            <w:vAlign w:val="center"/>
            <w:hideMark/>
          </w:tcPr>
          <w:p w14:paraId="4370E323" w14:textId="77777777" w:rsidR="000F7C00" w:rsidRDefault="000F7C00" w:rsidP="00211FA3">
            <w:pPr>
              <w:spacing w:after="0" w:line="240" w:lineRule="auto"/>
              <w:rPr>
                <w:rFonts w:ascii="Times New Roman" w:eastAsia="Times New Roman" w:hAnsi="Times New Roman" w:cs="Times New Roman"/>
                <w:b/>
                <w:bCs/>
                <w:color w:val="000000"/>
                <w:sz w:val="24"/>
                <w:szCs w:val="24"/>
              </w:rPr>
            </w:pPr>
            <w:r w:rsidRPr="00F46D68">
              <w:rPr>
                <w:rFonts w:ascii="Times New Roman" w:eastAsia="Times New Roman" w:hAnsi="Times New Roman" w:cs="Times New Roman"/>
                <w:b/>
                <w:bCs/>
                <w:color w:val="000000"/>
                <w:sz w:val="24"/>
                <w:szCs w:val="24"/>
              </w:rPr>
              <w:lastRenderedPageBreak/>
              <w:t xml:space="preserve">Table 2:  Numbers </w:t>
            </w:r>
            <w:r>
              <w:rPr>
                <w:rFonts w:ascii="Times New Roman" w:eastAsia="Times New Roman" w:hAnsi="Times New Roman" w:cs="Times New Roman"/>
                <w:b/>
                <w:bCs/>
                <w:color w:val="000000"/>
                <w:sz w:val="24"/>
                <w:szCs w:val="24"/>
              </w:rPr>
              <w:t xml:space="preserve">(in millions) </w:t>
            </w:r>
            <w:r w:rsidRPr="00F46D68">
              <w:rPr>
                <w:rFonts w:ascii="Times New Roman" w:eastAsia="Times New Roman" w:hAnsi="Times New Roman" w:cs="Times New Roman"/>
                <w:b/>
                <w:bCs/>
                <w:color w:val="000000"/>
                <w:sz w:val="24"/>
                <w:szCs w:val="24"/>
              </w:rPr>
              <w:t>and Shares of Degree Holders: Full-Time Full-Year Workers</w:t>
            </w:r>
          </w:p>
          <w:p w14:paraId="5CC6977F" w14:textId="77777777" w:rsidR="000F7C00" w:rsidRPr="00F46D68" w:rsidRDefault="000F7C00" w:rsidP="00211FA3">
            <w:pPr>
              <w:spacing w:after="0" w:line="240" w:lineRule="auto"/>
              <w:rPr>
                <w:rFonts w:ascii="Times New Roman" w:eastAsia="Times New Roman" w:hAnsi="Times New Roman" w:cs="Times New Roman"/>
                <w:b/>
                <w:bCs/>
                <w:color w:val="000000"/>
                <w:sz w:val="10"/>
                <w:szCs w:val="10"/>
              </w:rPr>
            </w:pPr>
          </w:p>
        </w:tc>
      </w:tr>
      <w:tr w:rsidR="000F7C00" w:rsidRPr="00F46D68" w14:paraId="2CEB6768" w14:textId="77777777" w:rsidTr="0018258B">
        <w:trPr>
          <w:trHeight w:val="432"/>
          <w:jc w:val="center"/>
        </w:trPr>
        <w:tc>
          <w:tcPr>
            <w:tcW w:w="1486" w:type="dxa"/>
            <w:tcBorders>
              <w:top w:val="nil"/>
              <w:left w:val="nil"/>
              <w:bottom w:val="nil"/>
              <w:right w:val="nil"/>
            </w:tcBorders>
            <w:shd w:val="clear" w:color="auto" w:fill="auto"/>
            <w:noWrap/>
            <w:vAlign w:val="bottom"/>
            <w:hideMark/>
          </w:tcPr>
          <w:p w14:paraId="4FD0F1C7" w14:textId="77777777" w:rsidR="000F7C00" w:rsidRPr="00F46D68" w:rsidRDefault="000F7C00" w:rsidP="00211FA3">
            <w:pPr>
              <w:spacing w:after="0" w:line="240" w:lineRule="auto"/>
              <w:jc w:val="center"/>
              <w:rPr>
                <w:rFonts w:ascii="Times New Roman" w:eastAsia="Times New Roman" w:hAnsi="Times New Roman" w:cs="Times New Roman"/>
                <w:b/>
                <w:bCs/>
                <w:color w:val="000000"/>
                <w:sz w:val="24"/>
                <w:szCs w:val="24"/>
              </w:rPr>
            </w:pPr>
          </w:p>
        </w:tc>
        <w:tc>
          <w:tcPr>
            <w:tcW w:w="3127" w:type="dxa"/>
            <w:gridSpan w:val="3"/>
            <w:tcBorders>
              <w:top w:val="nil"/>
              <w:left w:val="nil"/>
              <w:bottom w:val="single" w:sz="4" w:space="0" w:color="auto"/>
              <w:right w:val="nil"/>
            </w:tcBorders>
            <w:shd w:val="clear" w:color="auto" w:fill="auto"/>
            <w:noWrap/>
            <w:vAlign w:val="center"/>
            <w:hideMark/>
          </w:tcPr>
          <w:p w14:paraId="1DD82EDF" w14:textId="77777777" w:rsidR="000F7C00" w:rsidRPr="0018258B" w:rsidRDefault="000F7C00" w:rsidP="00211FA3">
            <w:pPr>
              <w:spacing w:after="0" w:line="240" w:lineRule="auto"/>
              <w:jc w:val="center"/>
              <w:rPr>
                <w:rFonts w:ascii="Times New Roman" w:eastAsia="Times New Roman" w:hAnsi="Times New Roman" w:cs="Times New Roman"/>
                <w:b/>
                <w:bCs/>
                <w:color w:val="000000"/>
                <w:sz w:val="24"/>
                <w:szCs w:val="24"/>
              </w:rPr>
            </w:pPr>
            <w:r w:rsidRPr="0018258B">
              <w:rPr>
                <w:rFonts w:ascii="Times New Roman" w:eastAsia="Times New Roman" w:hAnsi="Times New Roman" w:cs="Times New Roman"/>
                <w:b/>
                <w:bCs/>
                <w:color w:val="000000"/>
                <w:sz w:val="24"/>
                <w:szCs w:val="24"/>
              </w:rPr>
              <w:t>Group A: FTFY</w:t>
            </w:r>
          </w:p>
        </w:tc>
        <w:tc>
          <w:tcPr>
            <w:tcW w:w="3230" w:type="dxa"/>
            <w:gridSpan w:val="4"/>
            <w:tcBorders>
              <w:top w:val="nil"/>
              <w:left w:val="nil"/>
              <w:bottom w:val="single" w:sz="4" w:space="0" w:color="auto"/>
              <w:right w:val="nil"/>
            </w:tcBorders>
            <w:shd w:val="clear" w:color="auto" w:fill="auto"/>
            <w:noWrap/>
            <w:vAlign w:val="center"/>
            <w:hideMark/>
          </w:tcPr>
          <w:p w14:paraId="098AD0BF" w14:textId="77777777" w:rsidR="000F7C00" w:rsidRPr="0018258B" w:rsidRDefault="000F7C00" w:rsidP="00211FA3">
            <w:pPr>
              <w:spacing w:after="0" w:line="240" w:lineRule="auto"/>
              <w:jc w:val="center"/>
              <w:rPr>
                <w:rFonts w:ascii="Times New Roman" w:eastAsia="Times New Roman" w:hAnsi="Times New Roman" w:cs="Times New Roman"/>
                <w:b/>
                <w:bCs/>
                <w:color w:val="000000"/>
                <w:sz w:val="24"/>
                <w:szCs w:val="24"/>
              </w:rPr>
            </w:pPr>
            <w:r w:rsidRPr="0018258B">
              <w:rPr>
                <w:rFonts w:ascii="Times New Roman" w:eastAsia="Times New Roman" w:hAnsi="Times New Roman" w:cs="Times New Roman"/>
                <w:b/>
                <w:bCs/>
                <w:color w:val="000000"/>
                <w:sz w:val="24"/>
                <w:szCs w:val="24"/>
              </w:rPr>
              <w:t>Group B: FTFY Men</w:t>
            </w:r>
          </w:p>
        </w:tc>
        <w:tc>
          <w:tcPr>
            <w:tcW w:w="222" w:type="dxa"/>
            <w:tcBorders>
              <w:top w:val="nil"/>
              <w:left w:val="nil"/>
              <w:bottom w:val="nil"/>
              <w:right w:val="nil"/>
            </w:tcBorders>
            <w:shd w:val="clear" w:color="auto" w:fill="auto"/>
            <w:noWrap/>
            <w:vAlign w:val="bottom"/>
            <w:hideMark/>
          </w:tcPr>
          <w:p w14:paraId="2D76D78D" w14:textId="77777777" w:rsidR="000F7C00" w:rsidRPr="0018258B" w:rsidRDefault="000F7C00" w:rsidP="00211FA3">
            <w:pPr>
              <w:spacing w:after="0" w:line="240" w:lineRule="auto"/>
              <w:jc w:val="center"/>
              <w:rPr>
                <w:rFonts w:ascii="Times New Roman" w:eastAsia="Times New Roman" w:hAnsi="Times New Roman" w:cs="Times New Roman"/>
                <w:b/>
                <w:bCs/>
                <w:color w:val="000000"/>
                <w:sz w:val="24"/>
                <w:szCs w:val="24"/>
              </w:rPr>
            </w:pPr>
          </w:p>
        </w:tc>
        <w:tc>
          <w:tcPr>
            <w:tcW w:w="2862" w:type="dxa"/>
            <w:gridSpan w:val="3"/>
            <w:tcBorders>
              <w:top w:val="nil"/>
              <w:left w:val="nil"/>
              <w:bottom w:val="single" w:sz="4" w:space="0" w:color="auto"/>
              <w:right w:val="nil"/>
            </w:tcBorders>
            <w:shd w:val="clear" w:color="auto" w:fill="auto"/>
            <w:noWrap/>
            <w:vAlign w:val="center"/>
            <w:hideMark/>
          </w:tcPr>
          <w:p w14:paraId="4337FD7C" w14:textId="77777777" w:rsidR="000F7C00" w:rsidRPr="0018258B" w:rsidRDefault="000F7C00" w:rsidP="0018258B">
            <w:pPr>
              <w:spacing w:after="0" w:line="240" w:lineRule="auto"/>
              <w:jc w:val="center"/>
              <w:rPr>
                <w:rFonts w:ascii="Times New Roman" w:eastAsia="Times New Roman" w:hAnsi="Times New Roman" w:cs="Times New Roman"/>
                <w:b/>
                <w:bCs/>
                <w:color w:val="000000"/>
                <w:sz w:val="24"/>
                <w:szCs w:val="24"/>
              </w:rPr>
            </w:pPr>
            <w:r w:rsidRPr="0018258B">
              <w:rPr>
                <w:rFonts w:ascii="Times New Roman" w:eastAsia="Times New Roman" w:hAnsi="Times New Roman" w:cs="Times New Roman"/>
                <w:b/>
                <w:bCs/>
                <w:color w:val="000000"/>
                <w:sz w:val="24"/>
                <w:szCs w:val="24"/>
              </w:rPr>
              <w:t>Group C: FTFY Women</w:t>
            </w:r>
          </w:p>
        </w:tc>
        <w:tc>
          <w:tcPr>
            <w:tcW w:w="222" w:type="dxa"/>
            <w:tcBorders>
              <w:top w:val="nil"/>
              <w:left w:val="nil"/>
              <w:bottom w:val="nil"/>
              <w:right w:val="nil"/>
            </w:tcBorders>
            <w:shd w:val="clear" w:color="auto" w:fill="auto"/>
            <w:noWrap/>
            <w:vAlign w:val="bottom"/>
            <w:hideMark/>
          </w:tcPr>
          <w:p w14:paraId="56045FE7" w14:textId="77777777" w:rsidR="000F7C00" w:rsidRPr="0018258B" w:rsidRDefault="000F7C00" w:rsidP="00211FA3">
            <w:pPr>
              <w:spacing w:after="0" w:line="240" w:lineRule="auto"/>
              <w:jc w:val="center"/>
              <w:rPr>
                <w:rFonts w:ascii="Times New Roman" w:eastAsia="Times New Roman" w:hAnsi="Times New Roman" w:cs="Times New Roman"/>
                <w:b/>
                <w:bCs/>
                <w:color w:val="000000"/>
                <w:sz w:val="24"/>
                <w:szCs w:val="24"/>
              </w:rPr>
            </w:pPr>
          </w:p>
        </w:tc>
        <w:tc>
          <w:tcPr>
            <w:tcW w:w="3087" w:type="dxa"/>
            <w:gridSpan w:val="3"/>
            <w:tcBorders>
              <w:top w:val="nil"/>
              <w:left w:val="nil"/>
              <w:bottom w:val="single" w:sz="4" w:space="0" w:color="auto"/>
              <w:right w:val="nil"/>
            </w:tcBorders>
            <w:shd w:val="clear" w:color="auto" w:fill="auto"/>
            <w:noWrap/>
            <w:vAlign w:val="center"/>
            <w:hideMark/>
          </w:tcPr>
          <w:p w14:paraId="00E0034E" w14:textId="77777777" w:rsidR="000F7C00" w:rsidRPr="0018258B" w:rsidRDefault="000F7C00" w:rsidP="00211FA3">
            <w:pPr>
              <w:spacing w:after="0" w:line="240" w:lineRule="auto"/>
              <w:jc w:val="center"/>
              <w:rPr>
                <w:rFonts w:ascii="Times New Roman" w:eastAsia="Times New Roman" w:hAnsi="Times New Roman" w:cs="Times New Roman"/>
                <w:b/>
                <w:bCs/>
                <w:color w:val="000000"/>
                <w:sz w:val="24"/>
                <w:szCs w:val="24"/>
              </w:rPr>
            </w:pPr>
            <w:r w:rsidRPr="0018258B">
              <w:rPr>
                <w:rFonts w:ascii="Times New Roman" w:eastAsia="Times New Roman" w:hAnsi="Times New Roman" w:cs="Times New Roman"/>
                <w:b/>
                <w:bCs/>
                <w:color w:val="000000"/>
                <w:sz w:val="24"/>
                <w:szCs w:val="24"/>
              </w:rPr>
              <w:t>Group D: All Men</w:t>
            </w:r>
          </w:p>
        </w:tc>
      </w:tr>
      <w:tr w:rsidR="000F7C00" w:rsidRPr="00F46D68" w14:paraId="28117465" w14:textId="77777777" w:rsidTr="00211FA3">
        <w:trPr>
          <w:trHeight w:val="1176"/>
          <w:jc w:val="center"/>
        </w:trPr>
        <w:tc>
          <w:tcPr>
            <w:tcW w:w="1486" w:type="dxa"/>
            <w:tcBorders>
              <w:top w:val="nil"/>
              <w:left w:val="nil"/>
              <w:bottom w:val="single" w:sz="4" w:space="0" w:color="auto"/>
              <w:right w:val="nil"/>
            </w:tcBorders>
            <w:shd w:val="clear" w:color="auto" w:fill="auto"/>
            <w:noWrap/>
            <w:vAlign w:val="center"/>
            <w:hideMark/>
          </w:tcPr>
          <w:p w14:paraId="5DEAD0BB" w14:textId="77777777" w:rsidR="000F7C00" w:rsidRPr="00877DC2" w:rsidRDefault="000F7C00" w:rsidP="00211FA3">
            <w:pPr>
              <w:spacing w:after="0" w:line="240" w:lineRule="auto"/>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 </w:t>
            </w:r>
          </w:p>
        </w:tc>
        <w:tc>
          <w:tcPr>
            <w:tcW w:w="1096" w:type="dxa"/>
            <w:tcBorders>
              <w:top w:val="nil"/>
              <w:left w:val="nil"/>
              <w:bottom w:val="single" w:sz="4" w:space="0" w:color="auto"/>
              <w:right w:val="nil"/>
            </w:tcBorders>
            <w:shd w:val="clear" w:color="auto" w:fill="auto"/>
            <w:vAlign w:val="center"/>
            <w:hideMark/>
          </w:tcPr>
          <w:p w14:paraId="14567402"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High School Graduate</w:t>
            </w:r>
          </w:p>
        </w:tc>
        <w:tc>
          <w:tcPr>
            <w:tcW w:w="1075" w:type="dxa"/>
            <w:tcBorders>
              <w:top w:val="nil"/>
              <w:left w:val="nil"/>
              <w:bottom w:val="single" w:sz="4" w:space="0" w:color="auto"/>
              <w:right w:val="nil"/>
            </w:tcBorders>
            <w:shd w:val="clear" w:color="auto" w:fill="auto"/>
            <w:vAlign w:val="center"/>
            <w:hideMark/>
          </w:tcPr>
          <w:p w14:paraId="53AD3942"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AA Holder</w:t>
            </w:r>
          </w:p>
        </w:tc>
        <w:tc>
          <w:tcPr>
            <w:tcW w:w="956" w:type="dxa"/>
            <w:tcBorders>
              <w:top w:val="nil"/>
              <w:left w:val="nil"/>
              <w:bottom w:val="single" w:sz="4" w:space="0" w:color="auto"/>
              <w:right w:val="nil"/>
            </w:tcBorders>
            <w:shd w:val="clear" w:color="auto" w:fill="auto"/>
            <w:vAlign w:val="center"/>
            <w:hideMark/>
          </w:tcPr>
          <w:p w14:paraId="377A6C39"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BA or greater</w:t>
            </w:r>
          </w:p>
        </w:tc>
        <w:tc>
          <w:tcPr>
            <w:tcW w:w="222" w:type="dxa"/>
            <w:tcBorders>
              <w:top w:val="nil"/>
              <w:left w:val="nil"/>
              <w:bottom w:val="nil"/>
              <w:right w:val="nil"/>
            </w:tcBorders>
            <w:shd w:val="clear" w:color="auto" w:fill="auto"/>
            <w:vAlign w:val="center"/>
            <w:hideMark/>
          </w:tcPr>
          <w:p w14:paraId="6E9698FA"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p>
        </w:tc>
        <w:tc>
          <w:tcPr>
            <w:tcW w:w="1096" w:type="dxa"/>
            <w:tcBorders>
              <w:top w:val="nil"/>
              <w:left w:val="nil"/>
              <w:bottom w:val="single" w:sz="4" w:space="0" w:color="auto"/>
              <w:right w:val="nil"/>
            </w:tcBorders>
            <w:shd w:val="clear" w:color="auto" w:fill="auto"/>
            <w:vAlign w:val="center"/>
            <w:hideMark/>
          </w:tcPr>
          <w:p w14:paraId="22779998"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High School Graduate</w:t>
            </w:r>
          </w:p>
        </w:tc>
        <w:tc>
          <w:tcPr>
            <w:tcW w:w="956" w:type="dxa"/>
            <w:tcBorders>
              <w:top w:val="nil"/>
              <w:left w:val="nil"/>
              <w:bottom w:val="single" w:sz="4" w:space="0" w:color="auto"/>
              <w:right w:val="nil"/>
            </w:tcBorders>
            <w:shd w:val="clear" w:color="auto" w:fill="auto"/>
            <w:vAlign w:val="center"/>
            <w:hideMark/>
          </w:tcPr>
          <w:p w14:paraId="614C2FE9"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AA Holder</w:t>
            </w:r>
          </w:p>
        </w:tc>
        <w:tc>
          <w:tcPr>
            <w:tcW w:w="956" w:type="dxa"/>
            <w:tcBorders>
              <w:top w:val="nil"/>
              <w:left w:val="nil"/>
              <w:bottom w:val="single" w:sz="4" w:space="0" w:color="auto"/>
              <w:right w:val="nil"/>
            </w:tcBorders>
            <w:shd w:val="clear" w:color="auto" w:fill="auto"/>
            <w:vAlign w:val="center"/>
            <w:hideMark/>
          </w:tcPr>
          <w:p w14:paraId="42D6F9BA"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BA or greater</w:t>
            </w:r>
          </w:p>
        </w:tc>
        <w:tc>
          <w:tcPr>
            <w:tcW w:w="222" w:type="dxa"/>
            <w:tcBorders>
              <w:top w:val="nil"/>
              <w:left w:val="nil"/>
              <w:bottom w:val="nil"/>
              <w:right w:val="nil"/>
            </w:tcBorders>
            <w:shd w:val="clear" w:color="auto" w:fill="auto"/>
            <w:vAlign w:val="center"/>
            <w:hideMark/>
          </w:tcPr>
          <w:p w14:paraId="4C37269E"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p>
        </w:tc>
        <w:tc>
          <w:tcPr>
            <w:tcW w:w="1096" w:type="dxa"/>
            <w:tcBorders>
              <w:top w:val="nil"/>
              <w:left w:val="nil"/>
              <w:bottom w:val="single" w:sz="4" w:space="0" w:color="auto"/>
              <w:right w:val="nil"/>
            </w:tcBorders>
            <w:shd w:val="clear" w:color="auto" w:fill="auto"/>
            <w:vAlign w:val="center"/>
            <w:hideMark/>
          </w:tcPr>
          <w:p w14:paraId="7AD15143"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High School Graduate</w:t>
            </w:r>
          </w:p>
        </w:tc>
        <w:tc>
          <w:tcPr>
            <w:tcW w:w="883" w:type="dxa"/>
            <w:tcBorders>
              <w:top w:val="nil"/>
              <w:left w:val="nil"/>
              <w:bottom w:val="single" w:sz="4" w:space="0" w:color="auto"/>
              <w:right w:val="nil"/>
            </w:tcBorders>
            <w:shd w:val="clear" w:color="auto" w:fill="auto"/>
            <w:vAlign w:val="center"/>
            <w:hideMark/>
          </w:tcPr>
          <w:p w14:paraId="4B277DB0"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AA Holder</w:t>
            </w:r>
          </w:p>
        </w:tc>
        <w:tc>
          <w:tcPr>
            <w:tcW w:w="883" w:type="dxa"/>
            <w:tcBorders>
              <w:top w:val="nil"/>
              <w:left w:val="nil"/>
              <w:bottom w:val="single" w:sz="4" w:space="0" w:color="auto"/>
              <w:right w:val="nil"/>
            </w:tcBorders>
            <w:shd w:val="clear" w:color="auto" w:fill="auto"/>
            <w:vAlign w:val="center"/>
            <w:hideMark/>
          </w:tcPr>
          <w:p w14:paraId="450D96A3"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BA or greater</w:t>
            </w:r>
          </w:p>
        </w:tc>
        <w:tc>
          <w:tcPr>
            <w:tcW w:w="222" w:type="dxa"/>
            <w:tcBorders>
              <w:top w:val="nil"/>
              <w:left w:val="nil"/>
              <w:bottom w:val="nil"/>
              <w:right w:val="nil"/>
            </w:tcBorders>
            <w:shd w:val="clear" w:color="auto" w:fill="auto"/>
            <w:noWrap/>
            <w:vAlign w:val="bottom"/>
            <w:hideMark/>
          </w:tcPr>
          <w:p w14:paraId="3558D2EB"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p>
        </w:tc>
        <w:tc>
          <w:tcPr>
            <w:tcW w:w="1096" w:type="dxa"/>
            <w:tcBorders>
              <w:top w:val="nil"/>
              <w:left w:val="nil"/>
              <w:bottom w:val="single" w:sz="4" w:space="0" w:color="auto"/>
              <w:right w:val="nil"/>
            </w:tcBorders>
            <w:shd w:val="clear" w:color="auto" w:fill="auto"/>
            <w:vAlign w:val="center"/>
            <w:hideMark/>
          </w:tcPr>
          <w:p w14:paraId="2BA043D6"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High School Graduate</w:t>
            </w:r>
          </w:p>
        </w:tc>
        <w:tc>
          <w:tcPr>
            <w:tcW w:w="956" w:type="dxa"/>
            <w:tcBorders>
              <w:top w:val="nil"/>
              <w:left w:val="nil"/>
              <w:bottom w:val="single" w:sz="4" w:space="0" w:color="auto"/>
              <w:right w:val="nil"/>
            </w:tcBorders>
            <w:shd w:val="clear" w:color="auto" w:fill="auto"/>
            <w:vAlign w:val="center"/>
            <w:hideMark/>
          </w:tcPr>
          <w:p w14:paraId="3E5720A4"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AA Holder</w:t>
            </w:r>
          </w:p>
        </w:tc>
        <w:tc>
          <w:tcPr>
            <w:tcW w:w="1035" w:type="dxa"/>
            <w:tcBorders>
              <w:top w:val="nil"/>
              <w:left w:val="nil"/>
              <w:bottom w:val="single" w:sz="4" w:space="0" w:color="auto"/>
              <w:right w:val="nil"/>
            </w:tcBorders>
            <w:shd w:val="clear" w:color="auto" w:fill="auto"/>
            <w:vAlign w:val="center"/>
            <w:hideMark/>
          </w:tcPr>
          <w:p w14:paraId="2F8BFA63"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BA or greater</w:t>
            </w:r>
          </w:p>
        </w:tc>
      </w:tr>
      <w:tr w:rsidR="000F7C00" w:rsidRPr="00F46D68" w14:paraId="582E793C" w14:textId="77777777" w:rsidTr="00211FA3">
        <w:trPr>
          <w:trHeight w:val="275"/>
          <w:jc w:val="center"/>
        </w:trPr>
        <w:tc>
          <w:tcPr>
            <w:tcW w:w="1486" w:type="dxa"/>
            <w:tcBorders>
              <w:top w:val="nil"/>
              <w:left w:val="nil"/>
              <w:bottom w:val="nil"/>
              <w:right w:val="nil"/>
            </w:tcBorders>
            <w:shd w:val="clear" w:color="auto" w:fill="auto"/>
            <w:noWrap/>
            <w:vAlign w:val="bottom"/>
            <w:hideMark/>
          </w:tcPr>
          <w:p w14:paraId="40AB04A8" w14:textId="77777777" w:rsidR="000F7C00" w:rsidRPr="00877DC2" w:rsidRDefault="000F7C00" w:rsidP="00211FA3">
            <w:pPr>
              <w:spacing w:after="0" w:line="240" w:lineRule="auto"/>
              <w:jc w:val="right"/>
              <w:rPr>
                <w:rFonts w:ascii="Times New Roman" w:eastAsia="Times New Roman" w:hAnsi="Times New Roman" w:cs="Times New Roman"/>
                <w:color w:val="000000"/>
                <w:sz w:val="24"/>
                <w:szCs w:val="24"/>
              </w:rPr>
            </w:pPr>
          </w:p>
        </w:tc>
        <w:tc>
          <w:tcPr>
            <w:tcW w:w="1096" w:type="dxa"/>
            <w:tcBorders>
              <w:top w:val="nil"/>
              <w:left w:val="nil"/>
              <w:bottom w:val="nil"/>
              <w:right w:val="nil"/>
            </w:tcBorders>
            <w:shd w:val="clear" w:color="auto" w:fill="auto"/>
            <w:vAlign w:val="bottom"/>
            <w:hideMark/>
          </w:tcPr>
          <w:p w14:paraId="7BDE832F" w14:textId="77777777" w:rsidR="000F7C00" w:rsidRPr="00877DC2" w:rsidRDefault="000F7C00" w:rsidP="00211FA3">
            <w:pPr>
              <w:spacing w:after="0" w:line="240" w:lineRule="auto"/>
              <w:rPr>
                <w:rFonts w:ascii="Times New Roman" w:eastAsia="Times New Roman" w:hAnsi="Times New Roman" w:cs="Times New Roman"/>
                <w:sz w:val="24"/>
                <w:szCs w:val="24"/>
              </w:rPr>
            </w:pPr>
          </w:p>
        </w:tc>
        <w:tc>
          <w:tcPr>
            <w:tcW w:w="1075" w:type="dxa"/>
            <w:tcBorders>
              <w:top w:val="nil"/>
              <w:left w:val="nil"/>
              <w:bottom w:val="nil"/>
              <w:right w:val="nil"/>
            </w:tcBorders>
            <w:shd w:val="clear" w:color="auto" w:fill="auto"/>
            <w:vAlign w:val="bottom"/>
            <w:hideMark/>
          </w:tcPr>
          <w:p w14:paraId="225BA055" w14:textId="77777777" w:rsidR="000F7C00" w:rsidRPr="00877DC2" w:rsidRDefault="000F7C00" w:rsidP="00211FA3">
            <w:pPr>
              <w:spacing w:after="0" w:line="240" w:lineRule="auto"/>
              <w:rPr>
                <w:rFonts w:ascii="Times New Roman" w:eastAsia="Times New Roman" w:hAnsi="Times New Roman" w:cs="Times New Roman"/>
                <w:sz w:val="24"/>
                <w:szCs w:val="24"/>
              </w:rPr>
            </w:pPr>
          </w:p>
        </w:tc>
        <w:tc>
          <w:tcPr>
            <w:tcW w:w="956" w:type="dxa"/>
            <w:tcBorders>
              <w:top w:val="nil"/>
              <w:left w:val="nil"/>
              <w:bottom w:val="nil"/>
              <w:right w:val="nil"/>
            </w:tcBorders>
            <w:shd w:val="clear" w:color="auto" w:fill="auto"/>
            <w:vAlign w:val="bottom"/>
            <w:hideMark/>
          </w:tcPr>
          <w:p w14:paraId="302292E7" w14:textId="77777777" w:rsidR="000F7C00" w:rsidRPr="00877DC2" w:rsidRDefault="000F7C00" w:rsidP="00211FA3">
            <w:pPr>
              <w:spacing w:after="0" w:line="240" w:lineRule="auto"/>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vAlign w:val="bottom"/>
            <w:hideMark/>
          </w:tcPr>
          <w:p w14:paraId="396A8056" w14:textId="77777777" w:rsidR="000F7C00" w:rsidRPr="00877DC2" w:rsidRDefault="000F7C00" w:rsidP="00211FA3">
            <w:pPr>
              <w:spacing w:after="0" w:line="240" w:lineRule="auto"/>
              <w:rPr>
                <w:rFonts w:ascii="Times New Roman" w:eastAsia="Times New Roman" w:hAnsi="Times New Roman" w:cs="Times New Roman"/>
                <w:sz w:val="24"/>
                <w:szCs w:val="24"/>
              </w:rPr>
            </w:pPr>
          </w:p>
        </w:tc>
        <w:tc>
          <w:tcPr>
            <w:tcW w:w="1096" w:type="dxa"/>
            <w:tcBorders>
              <w:top w:val="nil"/>
              <w:left w:val="nil"/>
              <w:bottom w:val="nil"/>
              <w:right w:val="nil"/>
            </w:tcBorders>
            <w:shd w:val="clear" w:color="auto" w:fill="auto"/>
            <w:vAlign w:val="bottom"/>
            <w:hideMark/>
          </w:tcPr>
          <w:p w14:paraId="45CA239B" w14:textId="77777777" w:rsidR="000F7C00" w:rsidRPr="00877DC2" w:rsidRDefault="000F7C00" w:rsidP="00211FA3">
            <w:pPr>
              <w:spacing w:after="0" w:line="240" w:lineRule="auto"/>
              <w:rPr>
                <w:rFonts w:ascii="Times New Roman" w:eastAsia="Times New Roman" w:hAnsi="Times New Roman" w:cs="Times New Roman"/>
                <w:sz w:val="24"/>
                <w:szCs w:val="24"/>
              </w:rPr>
            </w:pPr>
          </w:p>
        </w:tc>
        <w:tc>
          <w:tcPr>
            <w:tcW w:w="956" w:type="dxa"/>
            <w:tcBorders>
              <w:top w:val="nil"/>
              <w:left w:val="nil"/>
              <w:bottom w:val="nil"/>
              <w:right w:val="nil"/>
            </w:tcBorders>
            <w:shd w:val="clear" w:color="auto" w:fill="auto"/>
            <w:vAlign w:val="bottom"/>
            <w:hideMark/>
          </w:tcPr>
          <w:p w14:paraId="76C4CC45" w14:textId="77777777" w:rsidR="000F7C00" w:rsidRPr="00877DC2" w:rsidRDefault="000F7C00" w:rsidP="00211FA3">
            <w:pPr>
              <w:spacing w:after="0" w:line="240" w:lineRule="auto"/>
              <w:rPr>
                <w:rFonts w:ascii="Times New Roman" w:eastAsia="Times New Roman" w:hAnsi="Times New Roman" w:cs="Times New Roman"/>
                <w:sz w:val="24"/>
                <w:szCs w:val="24"/>
              </w:rPr>
            </w:pPr>
          </w:p>
        </w:tc>
        <w:tc>
          <w:tcPr>
            <w:tcW w:w="956" w:type="dxa"/>
            <w:tcBorders>
              <w:top w:val="nil"/>
              <w:left w:val="nil"/>
              <w:bottom w:val="nil"/>
              <w:right w:val="nil"/>
            </w:tcBorders>
            <w:shd w:val="clear" w:color="auto" w:fill="auto"/>
            <w:vAlign w:val="bottom"/>
            <w:hideMark/>
          </w:tcPr>
          <w:p w14:paraId="76DD6089" w14:textId="77777777" w:rsidR="000F7C00" w:rsidRPr="00877DC2" w:rsidRDefault="000F7C00" w:rsidP="00211FA3">
            <w:pPr>
              <w:spacing w:after="0" w:line="240" w:lineRule="auto"/>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vAlign w:val="bottom"/>
            <w:hideMark/>
          </w:tcPr>
          <w:p w14:paraId="25CD5026" w14:textId="77777777" w:rsidR="000F7C00" w:rsidRPr="00877DC2" w:rsidRDefault="000F7C00" w:rsidP="00211FA3">
            <w:pPr>
              <w:spacing w:after="0" w:line="240" w:lineRule="auto"/>
              <w:rPr>
                <w:rFonts w:ascii="Times New Roman" w:eastAsia="Times New Roman" w:hAnsi="Times New Roman" w:cs="Times New Roman"/>
                <w:sz w:val="24"/>
                <w:szCs w:val="24"/>
              </w:rPr>
            </w:pPr>
          </w:p>
        </w:tc>
        <w:tc>
          <w:tcPr>
            <w:tcW w:w="1096" w:type="dxa"/>
            <w:tcBorders>
              <w:top w:val="nil"/>
              <w:left w:val="nil"/>
              <w:bottom w:val="nil"/>
              <w:right w:val="nil"/>
            </w:tcBorders>
            <w:shd w:val="clear" w:color="auto" w:fill="auto"/>
            <w:vAlign w:val="bottom"/>
            <w:hideMark/>
          </w:tcPr>
          <w:p w14:paraId="50887654" w14:textId="77777777" w:rsidR="000F7C00" w:rsidRPr="00877DC2" w:rsidRDefault="000F7C00" w:rsidP="00211FA3">
            <w:pPr>
              <w:spacing w:after="0" w:line="240" w:lineRule="auto"/>
              <w:rPr>
                <w:rFonts w:ascii="Times New Roman" w:eastAsia="Times New Roman" w:hAnsi="Times New Roman" w:cs="Times New Roman"/>
                <w:sz w:val="24"/>
                <w:szCs w:val="24"/>
              </w:rPr>
            </w:pPr>
          </w:p>
        </w:tc>
        <w:tc>
          <w:tcPr>
            <w:tcW w:w="883" w:type="dxa"/>
            <w:tcBorders>
              <w:top w:val="nil"/>
              <w:left w:val="nil"/>
              <w:bottom w:val="nil"/>
              <w:right w:val="nil"/>
            </w:tcBorders>
            <w:shd w:val="clear" w:color="auto" w:fill="auto"/>
            <w:vAlign w:val="bottom"/>
            <w:hideMark/>
          </w:tcPr>
          <w:p w14:paraId="1E305B05" w14:textId="77777777" w:rsidR="000F7C00" w:rsidRPr="00877DC2" w:rsidRDefault="000F7C00" w:rsidP="00211FA3">
            <w:pPr>
              <w:spacing w:after="0" w:line="240" w:lineRule="auto"/>
              <w:jc w:val="center"/>
              <w:rPr>
                <w:rFonts w:ascii="Times New Roman" w:eastAsia="Times New Roman" w:hAnsi="Times New Roman" w:cs="Times New Roman"/>
                <w:sz w:val="24"/>
                <w:szCs w:val="24"/>
              </w:rPr>
            </w:pPr>
          </w:p>
        </w:tc>
        <w:tc>
          <w:tcPr>
            <w:tcW w:w="883" w:type="dxa"/>
            <w:tcBorders>
              <w:top w:val="nil"/>
              <w:left w:val="nil"/>
              <w:bottom w:val="nil"/>
              <w:right w:val="nil"/>
            </w:tcBorders>
            <w:shd w:val="clear" w:color="auto" w:fill="auto"/>
            <w:vAlign w:val="bottom"/>
            <w:hideMark/>
          </w:tcPr>
          <w:p w14:paraId="402094E0" w14:textId="77777777" w:rsidR="000F7C00" w:rsidRPr="00877DC2" w:rsidRDefault="000F7C00" w:rsidP="00211FA3">
            <w:pPr>
              <w:spacing w:after="0" w:line="240" w:lineRule="auto"/>
              <w:jc w:val="center"/>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14:paraId="3CFC28D8" w14:textId="77777777" w:rsidR="000F7C00" w:rsidRPr="00877DC2" w:rsidRDefault="000F7C00" w:rsidP="00211FA3">
            <w:pPr>
              <w:spacing w:after="0" w:line="240" w:lineRule="auto"/>
              <w:jc w:val="center"/>
              <w:rPr>
                <w:rFonts w:ascii="Times New Roman" w:eastAsia="Times New Roman" w:hAnsi="Times New Roman" w:cs="Times New Roman"/>
                <w:sz w:val="24"/>
                <w:szCs w:val="24"/>
              </w:rPr>
            </w:pPr>
          </w:p>
        </w:tc>
        <w:tc>
          <w:tcPr>
            <w:tcW w:w="1096" w:type="dxa"/>
            <w:tcBorders>
              <w:top w:val="nil"/>
              <w:left w:val="nil"/>
              <w:bottom w:val="nil"/>
              <w:right w:val="nil"/>
            </w:tcBorders>
            <w:shd w:val="clear" w:color="auto" w:fill="auto"/>
            <w:vAlign w:val="bottom"/>
            <w:hideMark/>
          </w:tcPr>
          <w:p w14:paraId="30B7CDA5" w14:textId="77777777" w:rsidR="000F7C00" w:rsidRPr="00877DC2" w:rsidRDefault="000F7C00" w:rsidP="00211FA3">
            <w:pPr>
              <w:spacing w:after="0" w:line="240" w:lineRule="auto"/>
              <w:rPr>
                <w:rFonts w:ascii="Times New Roman" w:eastAsia="Times New Roman" w:hAnsi="Times New Roman" w:cs="Times New Roman"/>
                <w:sz w:val="24"/>
                <w:szCs w:val="24"/>
              </w:rPr>
            </w:pPr>
          </w:p>
        </w:tc>
        <w:tc>
          <w:tcPr>
            <w:tcW w:w="956" w:type="dxa"/>
            <w:tcBorders>
              <w:top w:val="nil"/>
              <w:left w:val="nil"/>
              <w:bottom w:val="nil"/>
              <w:right w:val="nil"/>
            </w:tcBorders>
            <w:shd w:val="clear" w:color="auto" w:fill="auto"/>
            <w:vAlign w:val="bottom"/>
            <w:hideMark/>
          </w:tcPr>
          <w:p w14:paraId="1659115B" w14:textId="77777777" w:rsidR="000F7C00" w:rsidRPr="00877DC2" w:rsidRDefault="000F7C00" w:rsidP="00211FA3">
            <w:pPr>
              <w:spacing w:after="0" w:line="240" w:lineRule="auto"/>
              <w:rPr>
                <w:rFonts w:ascii="Times New Roman" w:eastAsia="Times New Roman" w:hAnsi="Times New Roman" w:cs="Times New Roman"/>
                <w:sz w:val="24"/>
                <w:szCs w:val="24"/>
              </w:rPr>
            </w:pPr>
          </w:p>
        </w:tc>
        <w:tc>
          <w:tcPr>
            <w:tcW w:w="1035" w:type="dxa"/>
            <w:tcBorders>
              <w:top w:val="nil"/>
              <w:left w:val="nil"/>
              <w:bottom w:val="nil"/>
              <w:right w:val="nil"/>
            </w:tcBorders>
            <w:shd w:val="clear" w:color="auto" w:fill="auto"/>
            <w:vAlign w:val="bottom"/>
            <w:hideMark/>
          </w:tcPr>
          <w:p w14:paraId="71FB7E70" w14:textId="77777777" w:rsidR="000F7C00" w:rsidRPr="00877DC2" w:rsidRDefault="000F7C00" w:rsidP="00211FA3">
            <w:pPr>
              <w:spacing w:after="0" w:line="240" w:lineRule="auto"/>
              <w:rPr>
                <w:rFonts w:ascii="Times New Roman" w:eastAsia="Times New Roman" w:hAnsi="Times New Roman" w:cs="Times New Roman"/>
                <w:sz w:val="24"/>
                <w:szCs w:val="24"/>
              </w:rPr>
            </w:pPr>
          </w:p>
        </w:tc>
      </w:tr>
      <w:tr w:rsidR="000F7C00" w:rsidRPr="00F46D68" w14:paraId="0485473C" w14:textId="77777777" w:rsidTr="00211FA3">
        <w:trPr>
          <w:trHeight w:val="284"/>
          <w:jc w:val="center"/>
        </w:trPr>
        <w:tc>
          <w:tcPr>
            <w:tcW w:w="14236" w:type="dxa"/>
            <w:gridSpan w:val="16"/>
            <w:tcBorders>
              <w:top w:val="nil"/>
              <w:left w:val="nil"/>
              <w:bottom w:val="nil"/>
              <w:right w:val="nil"/>
            </w:tcBorders>
            <w:shd w:val="clear" w:color="auto" w:fill="auto"/>
            <w:noWrap/>
            <w:vAlign w:val="center"/>
            <w:hideMark/>
          </w:tcPr>
          <w:p w14:paraId="09EDD807" w14:textId="77777777" w:rsidR="000F7C00" w:rsidRPr="00877DC2" w:rsidRDefault="000F7C00" w:rsidP="00211FA3">
            <w:pPr>
              <w:spacing w:after="0" w:line="240" w:lineRule="auto"/>
              <w:jc w:val="center"/>
              <w:rPr>
                <w:rFonts w:ascii="Times New Roman" w:eastAsia="Times New Roman" w:hAnsi="Times New Roman" w:cs="Times New Roman"/>
                <w:b/>
                <w:bCs/>
                <w:color w:val="000000"/>
                <w:sz w:val="24"/>
                <w:szCs w:val="24"/>
              </w:rPr>
            </w:pPr>
            <w:r w:rsidRPr="00877DC2">
              <w:rPr>
                <w:rFonts w:ascii="Times New Roman" w:eastAsia="Times New Roman" w:hAnsi="Times New Roman" w:cs="Times New Roman"/>
                <w:b/>
                <w:bCs/>
                <w:color w:val="000000"/>
                <w:sz w:val="24"/>
                <w:szCs w:val="24"/>
              </w:rPr>
              <w:t>Panel A: Observed</w:t>
            </w:r>
          </w:p>
        </w:tc>
      </w:tr>
      <w:tr w:rsidR="000F7C00" w:rsidRPr="00F46D68" w14:paraId="033B6092" w14:textId="77777777" w:rsidTr="00211FA3">
        <w:trPr>
          <w:trHeight w:val="432"/>
          <w:jc w:val="center"/>
        </w:trPr>
        <w:tc>
          <w:tcPr>
            <w:tcW w:w="1486" w:type="dxa"/>
            <w:tcBorders>
              <w:top w:val="nil"/>
              <w:left w:val="nil"/>
              <w:bottom w:val="nil"/>
              <w:right w:val="nil"/>
            </w:tcBorders>
            <w:shd w:val="clear" w:color="auto" w:fill="auto"/>
            <w:noWrap/>
            <w:vAlign w:val="bottom"/>
            <w:hideMark/>
          </w:tcPr>
          <w:p w14:paraId="080A6F3D"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1979</w:t>
            </w:r>
          </w:p>
        </w:tc>
        <w:tc>
          <w:tcPr>
            <w:tcW w:w="1096" w:type="dxa"/>
            <w:tcBorders>
              <w:top w:val="nil"/>
              <w:left w:val="nil"/>
              <w:bottom w:val="nil"/>
              <w:right w:val="nil"/>
            </w:tcBorders>
            <w:shd w:val="clear" w:color="auto" w:fill="auto"/>
            <w:noWrap/>
            <w:vAlign w:val="bottom"/>
            <w:hideMark/>
          </w:tcPr>
          <w:p w14:paraId="135A319B"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21.2</w:t>
            </w:r>
          </w:p>
        </w:tc>
        <w:tc>
          <w:tcPr>
            <w:tcW w:w="1075" w:type="dxa"/>
            <w:tcBorders>
              <w:top w:val="nil"/>
              <w:left w:val="nil"/>
              <w:bottom w:val="nil"/>
              <w:right w:val="nil"/>
            </w:tcBorders>
            <w:shd w:val="clear" w:color="auto" w:fill="auto"/>
            <w:noWrap/>
            <w:vAlign w:val="bottom"/>
            <w:hideMark/>
          </w:tcPr>
          <w:p w14:paraId="062DD4DD"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3.7</w:t>
            </w:r>
          </w:p>
        </w:tc>
        <w:tc>
          <w:tcPr>
            <w:tcW w:w="956" w:type="dxa"/>
            <w:tcBorders>
              <w:top w:val="nil"/>
              <w:left w:val="nil"/>
              <w:bottom w:val="nil"/>
              <w:right w:val="nil"/>
            </w:tcBorders>
            <w:shd w:val="clear" w:color="auto" w:fill="auto"/>
            <w:noWrap/>
            <w:vAlign w:val="bottom"/>
            <w:hideMark/>
          </w:tcPr>
          <w:p w14:paraId="274BD5B0"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10.7</w:t>
            </w:r>
          </w:p>
        </w:tc>
        <w:tc>
          <w:tcPr>
            <w:tcW w:w="222" w:type="dxa"/>
            <w:tcBorders>
              <w:top w:val="nil"/>
              <w:left w:val="nil"/>
              <w:bottom w:val="nil"/>
              <w:right w:val="nil"/>
            </w:tcBorders>
            <w:shd w:val="clear" w:color="auto" w:fill="auto"/>
            <w:noWrap/>
            <w:vAlign w:val="bottom"/>
            <w:hideMark/>
          </w:tcPr>
          <w:p w14:paraId="23518BA5"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p>
        </w:tc>
        <w:tc>
          <w:tcPr>
            <w:tcW w:w="1096" w:type="dxa"/>
            <w:tcBorders>
              <w:top w:val="nil"/>
              <w:left w:val="nil"/>
              <w:bottom w:val="nil"/>
              <w:right w:val="nil"/>
            </w:tcBorders>
            <w:shd w:val="clear" w:color="auto" w:fill="auto"/>
            <w:noWrap/>
            <w:vAlign w:val="bottom"/>
            <w:hideMark/>
          </w:tcPr>
          <w:p w14:paraId="0A66F018" w14:textId="3E9C292F"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13.</w:t>
            </w:r>
            <w:r w:rsidR="00041BA9">
              <w:rPr>
                <w:rFonts w:ascii="Times New Roman" w:eastAsia="Times New Roman" w:hAnsi="Times New Roman" w:cs="Times New Roman"/>
                <w:color w:val="000000"/>
                <w:sz w:val="24"/>
                <w:szCs w:val="24"/>
              </w:rPr>
              <w:t>0</w:t>
            </w:r>
          </w:p>
        </w:tc>
        <w:tc>
          <w:tcPr>
            <w:tcW w:w="956" w:type="dxa"/>
            <w:tcBorders>
              <w:top w:val="nil"/>
              <w:left w:val="nil"/>
              <w:bottom w:val="nil"/>
              <w:right w:val="nil"/>
            </w:tcBorders>
            <w:shd w:val="clear" w:color="auto" w:fill="auto"/>
            <w:noWrap/>
            <w:vAlign w:val="bottom"/>
            <w:hideMark/>
          </w:tcPr>
          <w:p w14:paraId="2A157035" w14:textId="07E4D3F5"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2.5</w:t>
            </w:r>
          </w:p>
        </w:tc>
        <w:tc>
          <w:tcPr>
            <w:tcW w:w="956" w:type="dxa"/>
            <w:tcBorders>
              <w:top w:val="nil"/>
              <w:left w:val="nil"/>
              <w:bottom w:val="nil"/>
              <w:right w:val="nil"/>
            </w:tcBorders>
            <w:shd w:val="clear" w:color="auto" w:fill="auto"/>
            <w:noWrap/>
            <w:vAlign w:val="bottom"/>
            <w:hideMark/>
          </w:tcPr>
          <w:p w14:paraId="137E7088" w14:textId="70A41659"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7.</w:t>
            </w:r>
            <w:r w:rsidR="00041BA9">
              <w:rPr>
                <w:rFonts w:ascii="Times New Roman" w:eastAsia="Times New Roman" w:hAnsi="Times New Roman" w:cs="Times New Roman"/>
                <w:color w:val="000000"/>
                <w:sz w:val="24"/>
                <w:szCs w:val="24"/>
              </w:rPr>
              <w:t>5</w:t>
            </w:r>
          </w:p>
        </w:tc>
        <w:tc>
          <w:tcPr>
            <w:tcW w:w="222" w:type="dxa"/>
            <w:tcBorders>
              <w:top w:val="nil"/>
              <w:left w:val="nil"/>
              <w:bottom w:val="nil"/>
              <w:right w:val="nil"/>
            </w:tcBorders>
            <w:shd w:val="clear" w:color="auto" w:fill="auto"/>
            <w:noWrap/>
            <w:vAlign w:val="bottom"/>
            <w:hideMark/>
          </w:tcPr>
          <w:p w14:paraId="74AFCB9F"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p>
        </w:tc>
        <w:tc>
          <w:tcPr>
            <w:tcW w:w="1096" w:type="dxa"/>
            <w:tcBorders>
              <w:top w:val="nil"/>
              <w:left w:val="nil"/>
              <w:bottom w:val="nil"/>
              <w:right w:val="nil"/>
            </w:tcBorders>
            <w:shd w:val="clear" w:color="auto" w:fill="auto"/>
            <w:noWrap/>
            <w:vAlign w:val="bottom"/>
            <w:hideMark/>
          </w:tcPr>
          <w:p w14:paraId="17239823" w14:textId="61FA44F3"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8.</w:t>
            </w:r>
            <w:r w:rsidR="00430467">
              <w:rPr>
                <w:rFonts w:ascii="Times New Roman" w:eastAsia="Times New Roman" w:hAnsi="Times New Roman" w:cs="Times New Roman"/>
                <w:color w:val="000000"/>
                <w:sz w:val="24"/>
                <w:szCs w:val="24"/>
              </w:rPr>
              <w:t>2</w:t>
            </w:r>
          </w:p>
        </w:tc>
        <w:tc>
          <w:tcPr>
            <w:tcW w:w="883" w:type="dxa"/>
            <w:tcBorders>
              <w:top w:val="nil"/>
              <w:left w:val="nil"/>
              <w:bottom w:val="nil"/>
              <w:right w:val="nil"/>
            </w:tcBorders>
            <w:shd w:val="clear" w:color="auto" w:fill="auto"/>
            <w:noWrap/>
            <w:vAlign w:val="bottom"/>
            <w:hideMark/>
          </w:tcPr>
          <w:p w14:paraId="4B90367A" w14:textId="5933F86A"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1.2</w:t>
            </w:r>
          </w:p>
        </w:tc>
        <w:tc>
          <w:tcPr>
            <w:tcW w:w="883" w:type="dxa"/>
            <w:tcBorders>
              <w:top w:val="nil"/>
              <w:left w:val="nil"/>
              <w:bottom w:val="nil"/>
              <w:right w:val="nil"/>
            </w:tcBorders>
            <w:shd w:val="clear" w:color="auto" w:fill="auto"/>
            <w:noWrap/>
            <w:vAlign w:val="bottom"/>
            <w:hideMark/>
          </w:tcPr>
          <w:p w14:paraId="7686D643" w14:textId="39CDE80E"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3.2</w:t>
            </w:r>
          </w:p>
        </w:tc>
        <w:tc>
          <w:tcPr>
            <w:tcW w:w="222" w:type="dxa"/>
            <w:tcBorders>
              <w:top w:val="nil"/>
              <w:left w:val="nil"/>
              <w:bottom w:val="nil"/>
              <w:right w:val="nil"/>
            </w:tcBorders>
            <w:shd w:val="clear" w:color="auto" w:fill="auto"/>
            <w:noWrap/>
            <w:vAlign w:val="bottom"/>
            <w:hideMark/>
          </w:tcPr>
          <w:p w14:paraId="2DD6B06B"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p>
        </w:tc>
        <w:tc>
          <w:tcPr>
            <w:tcW w:w="1096" w:type="dxa"/>
            <w:tcBorders>
              <w:top w:val="nil"/>
              <w:left w:val="nil"/>
              <w:bottom w:val="nil"/>
              <w:right w:val="nil"/>
            </w:tcBorders>
            <w:shd w:val="clear" w:color="auto" w:fill="auto"/>
            <w:noWrap/>
            <w:vAlign w:val="bottom"/>
            <w:hideMark/>
          </w:tcPr>
          <w:p w14:paraId="203AB7E3" w14:textId="2B4C29FE"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15.4</w:t>
            </w:r>
          </w:p>
        </w:tc>
        <w:tc>
          <w:tcPr>
            <w:tcW w:w="956" w:type="dxa"/>
            <w:tcBorders>
              <w:top w:val="nil"/>
              <w:left w:val="nil"/>
              <w:bottom w:val="nil"/>
              <w:right w:val="nil"/>
            </w:tcBorders>
            <w:shd w:val="clear" w:color="auto" w:fill="auto"/>
            <w:noWrap/>
            <w:vAlign w:val="bottom"/>
            <w:hideMark/>
          </w:tcPr>
          <w:p w14:paraId="07AD5017" w14:textId="23F3C500"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2.9</w:t>
            </w:r>
          </w:p>
        </w:tc>
        <w:tc>
          <w:tcPr>
            <w:tcW w:w="1035" w:type="dxa"/>
            <w:tcBorders>
              <w:top w:val="nil"/>
              <w:left w:val="nil"/>
              <w:bottom w:val="nil"/>
              <w:right w:val="nil"/>
            </w:tcBorders>
            <w:shd w:val="clear" w:color="auto" w:fill="auto"/>
            <w:noWrap/>
            <w:vAlign w:val="bottom"/>
            <w:hideMark/>
          </w:tcPr>
          <w:p w14:paraId="1EE646EB" w14:textId="59D94EAA"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8.4</w:t>
            </w:r>
          </w:p>
        </w:tc>
      </w:tr>
      <w:tr w:rsidR="000F7C00" w:rsidRPr="00F46D68" w14:paraId="5C6E716D" w14:textId="77777777" w:rsidTr="00211FA3">
        <w:trPr>
          <w:trHeight w:val="294"/>
          <w:jc w:val="center"/>
        </w:trPr>
        <w:tc>
          <w:tcPr>
            <w:tcW w:w="1486" w:type="dxa"/>
            <w:tcBorders>
              <w:top w:val="nil"/>
              <w:left w:val="nil"/>
              <w:bottom w:val="nil"/>
              <w:right w:val="nil"/>
            </w:tcBorders>
            <w:shd w:val="clear" w:color="auto" w:fill="auto"/>
            <w:noWrap/>
            <w:vAlign w:val="bottom"/>
            <w:hideMark/>
          </w:tcPr>
          <w:p w14:paraId="17F46130" w14:textId="77777777" w:rsidR="000F7C00" w:rsidRPr="00877DC2" w:rsidRDefault="000F7C00" w:rsidP="00211FA3">
            <w:pPr>
              <w:spacing w:after="0" w:line="240" w:lineRule="auto"/>
              <w:jc w:val="right"/>
              <w:rPr>
                <w:rFonts w:ascii="Times New Roman" w:eastAsia="Times New Roman" w:hAnsi="Times New Roman" w:cs="Times New Roman"/>
                <w:color w:val="000000"/>
                <w:sz w:val="24"/>
                <w:szCs w:val="24"/>
              </w:rPr>
            </w:pPr>
          </w:p>
        </w:tc>
        <w:tc>
          <w:tcPr>
            <w:tcW w:w="1096" w:type="dxa"/>
            <w:tcBorders>
              <w:top w:val="nil"/>
              <w:left w:val="nil"/>
              <w:bottom w:val="nil"/>
              <w:right w:val="nil"/>
            </w:tcBorders>
            <w:shd w:val="clear" w:color="auto" w:fill="auto"/>
            <w:noWrap/>
            <w:hideMark/>
          </w:tcPr>
          <w:p w14:paraId="15411EFF"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49.1%</w:t>
            </w:r>
          </w:p>
        </w:tc>
        <w:tc>
          <w:tcPr>
            <w:tcW w:w="1075" w:type="dxa"/>
            <w:tcBorders>
              <w:top w:val="nil"/>
              <w:left w:val="nil"/>
              <w:bottom w:val="nil"/>
              <w:right w:val="nil"/>
            </w:tcBorders>
            <w:shd w:val="clear" w:color="auto" w:fill="auto"/>
            <w:noWrap/>
            <w:hideMark/>
          </w:tcPr>
          <w:p w14:paraId="7E4EDBB9"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8.7%</w:t>
            </w:r>
          </w:p>
        </w:tc>
        <w:tc>
          <w:tcPr>
            <w:tcW w:w="956" w:type="dxa"/>
            <w:tcBorders>
              <w:top w:val="nil"/>
              <w:left w:val="nil"/>
              <w:bottom w:val="nil"/>
              <w:right w:val="nil"/>
            </w:tcBorders>
            <w:shd w:val="clear" w:color="auto" w:fill="auto"/>
            <w:noWrap/>
            <w:hideMark/>
          </w:tcPr>
          <w:p w14:paraId="3250462A"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24.8%</w:t>
            </w:r>
          </w:p>
        </w:tc>
        <w:tc>
          <w:tcPr>
            <w:tcW w:w="222" w:type="dxa"/>
            <w:tcBorders>
              <w:top w:val="nil"/>
              <w:left w:val="nil"/>
              <w:bottom w:val="nil"/>
              <w:right w:val="nil"/>
            </w:tcBorders>
            <w:shd w:val="clear" w:color="auto" w:fill="auto"/>
            <w:noWrap/>
            <w:hideMark/>
          </w:tcPr>
          <w:p w14:paraId="4CA079C5"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p>
        </w:tc>
        <w:tc>
          <w:tcPr>
            <w:tcW w:w="1096" w:type="dxa"/>
            <w:tcBorders>
              <w:top w:val="nil"/>
              <w:left w:val="nil"/>
              <w:bottom w:val="nil"/>
              <w:right w:val="nil"/>
            </w:tcBorders>
            <w:shd w:val="clear" w:color="auto" w:fill="auto"/>
            <w:noWrap/>
            <w:hideMark/>
          </w:tcPr>
          <w:p w14:paraId="436C6377"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45.9%</w:t>
            </w:r>
          </w:p>
        </w:tc>
        <w:tc>
          <w:tcPr>
            <w:tcW w:w="956" w:type="dxa"/>
            <w:tcBorders>
              <w:top w:val="nil"/>
              <w:left w:val="nil"/>
              <w:bottom w:val="nil"/>
              <w:right w:val="nil"/>
            </w:tcBorders>
            <w:shd w:val="clear" w:color="auto" w:fill="auto"/>
            <w:noWrap/>
            <w:hideMark/>
          </w:tcPr>
          <w:p w14:paraId="3030B176"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8.9%</w:t>
            </w:r>
          </w:p>
        </w:tc>
        <w:tc>
          <w:tcPr>
            <w:tcW w:w="956" w:type="dxa"/>
            <w:tcBorders>
              <w:top w:val="nil"/>
              <w:left w:val="nil"/>
              <w:bottom w:val="nil"/>
              <w:right w:val="nil"/>
            </w:tcBorders>
            <w:shd w:val="clear" w:color="auto" w:fill="auto"/>
            <w:noWrap/>
            <w:hideMark/>
          </w:tcPr>
          <w:p w14:paraId="5714BE8D"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26.4%</w:t>
            </w:r>
          </w:p>
        </w:tc>
        <w:tc>
          <w:tcPr>
            <w:tcW w:w="222" w:type="dxa"/>
            <w:tcBorders>
              <w:top w:val="nil"/>
              <w:left w:val="nil"/>
              <w:bottom w:val="nil"/>
              <w:right w:val="nil"/>
            </w:tcBorders>
            <w:shd w:val="clear" w:color="auto" w:fill="auto"/>
            <w:noWrap/>
            <w:hideMark/>
          </w:tcPr>
          <w:p w14:paraId="51DF1A63"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p>
        </w:tc>
        <w:tc>
          <w:tcPr>
            <w:tcW w:w="1096" w:type="dxa"/>
            <w:tcBorders>
              <w:top w:val="nil"/>
              <w:left w:val="nil"/>
              <w:bottom w:val="nil"/>
              <w:right w:val="nil"/>
            </w:tcBorders>
            <w:shd w:val="clear" w:color="auto" w:fill="auto"/>
            <w:noWrap/>
            <w:hideMark/>
          </w:tcPr>
          <w:p w14:paraId="770428C5"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55.1%</w:t>
            </w:r>
          </w:p>
        </w:tc>
        <w:tc>
          <w:tcPr>
            <w:tcW w:w="883" w:type="dxa"/>
            <w:tcBorders>
              <w:top w:val="nil"/>
              <w:left w:val="nil"/>
              <w:bottom w:val="nil"/>
              <w:right w:val="nil"/>
            </w:tcBorders>
            <w:shd w:val="clear" w:color="auto" w:fill="auto"/>
            <w:noWrap/>
            <w:hideMark/>
          </w:tcPr>
          <w:p w14:paraId="759D017A"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8.3%</w:t>
            </w:r>
          </w:p>
        </w:tc>
        <w:tc>
          <w:tcPr>
            <w:tcW w:w="883" w:type="dxa"/>
            <w:tcBorders>
              <w:top w:val="nil"/>
              <w:left w:val="nil"/>
              <w:bottom w:val="nil"/>
              <w:right w:val="nil"/>
            </w:tcBorders>
            <w:shd w:val="clear" w:color="auto" w:fill="auto"/>
            <w:noWrap/>
            <w:hideMark/>
          </w:tcPr>
          <w:p w14:paraId="234EA586"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21.7%</w:t>
            </w:r>
          </w:p>
        </w:tc>
        <w:tc>
          <w:tcPr>
            <w:tcW w:w="222" w:type="dxa"/>
            <w:tcBorders>
              <w:top w:val="nil"/>
              <w:left w:val="nil"/>
              <w:bottom w:val="nil"/>
              <w:right w:val="nil"/>
            </w:tcBorders>
            <w:shd w:val="clear" w:color="auto" w:fill="auto"/>
            <w:noWrap/>
            <w:hideMark/>
          </w:tcPr>
          <w:p w14:paraId="1B30D76E"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p>
        </w:tc>
        <w:tc>
          <w:tcPr>
            <w:tcW w:w="1096" w:type="dxa"/>
            <w:tcBorders>
              <w:top w:val="nil"/>
              <w:left w:val="nil"/>
              <w:bottom w:val="nil"/>
              <w:right w:val="nil"/>
            </w:tcBorders>
            <w:shd w:val="clear" w:color="auto" w:fill="auto"/>
            <w:noWrap/>
            <w:hideMark/>
          </w:tcPr>
          <w:p w14:paraId="3BC550F5"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45.0%</w:t>
            </w:r>
          </w:p>
        </w:tc>
        <w:tc>
          <w:tcPr>
            <w:tcW w:w="956" w:type="dxa"/>
            <w:tcBorders>
              <w:top w:val="nil"/>
              <w:left w:val="nil"/>
              <w:bottom w:val="nil"/>
              <w:right w:val="nil"/>
            </w:tcBorders>
            <w:shd w:val="clear" w:color="auto" w:fill="auto"/>
            <w:noWrap/>
            <w:hideMark/>
          </w:tcPr>
          <w:p w14:paraId="1BBF911C"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8.6%</w:t>
            </w:r>
          </w:p>
        </w:tc>
        <w:tc>
          <w:tcPr>
            <w:tcW w:w="1035" w:type="dxa"/>
            <w:tcBorders>
              <w:top w:val="nil"/>
              <w:left w:val="nil"/>
              <w:bottom w:val="nil"/>
              <w:right w:val="nil"/>
            </w:tcBorders>
            <w:shd w:val="clear" w:color="auto" w:fill="auto"/>
            <w:noWrap/>
            <w:hideMark/>
          </w:tcPr>
          <w:p w14:paraId="1F2EAB4D"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24.6%</w:t>
            </w:r>
          </w:p>
        </w:tc>
      </w:tr>
      <w:tr w:rsidR="000F7C00" w:rsidRPr="00F46D68" w14:paraId="6E909274" w14:textId="77777777" w:rsidTr="00211FA3">
        <w:trPr>
          <w:trHeight w:val="432"/>
          <w:jc w:val="center"/>
        </w:trPr>
        <w:tc>
          <w:tcPr>
            <w:tcW w:w="1486" w:type="dxa"/>
            <w:tcBorders>
              <w:top w:val="nil"/>
              <w:left w:val="nil"/>
              <w:bottom w:val="nil"/>
              <w:right w:val="nil"/>
            </w:tcBorders>
            <w:shd w:val="clear" w:color="auto" w:fill="auto"/>
            <w:noWrap/>
            <w:vAlign w:val="bottom"/>
            <w:hideMark/>
          </w:tcPr>
          <w:p w14:paraId="1402553E"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2018</w:t>
            </w:r>
          </w:p>
        </w:tc>
        <w:tc>
          <w:tcPr>
            <w:tcW w:w="1096" w:type="dxa"/>
            <w:tcBorders>
              <w:top w:val="nil"/>
              <w:left w:val="nil"/>
              <w:bottom w:val="nil"/>
              <w:right w:val="nil"/>
            </w:tcBorders>
            <w:shd w:val="clear" w:color="auto" w:fill="auto"/>
            <w:noWrap/>
            <w:vAlign w:val="bottom"/>
            <w:hideMark/>
          </w:tcPr>
          <w:p w14:paraId="388CDB8E"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24.8</w:t>
            </w:r>
          </w:p>
        </w:tc>
        <w:tc>
          <w:tcPr>
            <w:tcW w:w="1075" w:type="dxa"/>
            <w:tcBorders>
              <w:top w:val="nil"/>
              <w:left w:val="nil"/>
              <w:bottom w:val="nil"/>
              <w:right w:val="nil"/>
            </w:tcBorders>
            <w:shd w:val="clear" w:color="auto" w:fill="auto"/>
            <w:noWrap/>
            <w:vAlign w:val="bottom"/>
            <w:hideMark/>
          </w:tcPr>
          <w:p w14:paraId="0ECF9AA0"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7.2</w:t>
            </w:r>
          </w:p>
        </w:tc>
        <w:tc>
          <w:tcPr>
            <w:tcW w:w="956" w:type="dxa"/>
            <w:tcBorders>
              <w:top w:val="nil"/>
              <w:left w:val="nil"/>
              <w:bottom w:val="nil"/>
              <w:right w:val="nil"/>
            </w:tcBorders>
            <w:shd w:val="clear" w:color="auto" w:fill="auto"/>
            <w:noWrap/>
            <w:vAlign w:val="bottom"/>
            <w:hideMark/>
          </w:tcPr>
          <w:p w14:paraId="4D6B9CE7"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29.6</w:t>
            </w:r>
          </w:p>
        </w:tc>
        <w:tc>
          <w:tcPr>
            <w:tcW w:w="222" w:type="dxa"/>
            <w:tcBorders>
              <w:top w:val="nil"/>
              <w:left w:val="nil"/>
              <w:bottom w:val="nil"/>
              <w:right w:val="nil"/>
            </w:tcBorders>
            <w:shd w:val="clear" w:color="auto" w:fill="auto"/>
            <w:noWrap/>
            <w:vAlign w:val="bottom"/>
            <w:hideMark/>
          </w:tcPr>
          <w:p w14:paraId="346F2D46"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p>
        </w:tc>
        <w:tc>
          <w:tcPr>
            <w:tcW w:w="1096" w:type="dxa"/>
            <w:tcBorders>
              <w:top w:val="nil"/>
              <w:left w:val="nil"/>
              <w:bottom w:val="nil"/>
              <w:right w:val="nil"/>
            </w:tcBorders>
            <w:shd w:val="clear" w:color="auto" w:fill="auto"/>
            <w:noWrap/>
            <w:vAlign w:val="bottom"/>
            <w:hideMark/>
          </w:tcPr>
          <w:p w14:paraId="2828AABA" w14:textId="00ABBC68"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15.4</w:t>
            </w:r>
          </w:p>
        </w:tc>
        <w:tc>
          <w:tcPr>
            <w:tcW w:w="956" w:type="dxa"/>
            <w:tcBorders>
              <w:top w:val="nil"/>
              <w:left w:val="nil"/>
              <w:bottom w:val="nil"/>
              <w:right w:val="nil"/>
            </w:tcBorders>
            <w:shd w:val="clear" w:color="auto" w:fill="auto"/>
            <w:noWrap/>
            <w:vAlign w:val="bottom"/>
            <w:hideMark/>
          </w:tcPr>
          <w:p w14:paraId="3B2A624F" w14:textId="5767A3CB"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3.</w:t>
            </w:r>
            <w:r w:rsidR="00041BA9">
              <w:rPr>
                <w:rFonts w:ascii="Times New Roman" w:eastAsia="Times New Roman" w:hAnsi="Times New Roman" w:cs="Times New Roman"/>
                <w:color w:val="000000"/>
                <w:sz w:val="24"/>
                <w:szCs w:val="24"/>
              </w:rPr>
              <w:t>8</w:t>
            </w:r>
          </w:p>
        </w:tc>
        <w:tc>
          <w:tcPr>
            <w:tcW w:w="956" w:type="dxa"/>
            <w:tcBorders>
              <w:top w:val="nil"/>
              <w:left w:val="nil"/>
              <w:bottom w:val="nil"/>
              <w:right w:val="nil"/>
            </w:tcBorders>
            <w:shd w:val="clear" w:color="auto" w:fill="auto"/>
            <w:noWrap/>
            <w:vAlign w:val="bottom"/>
            <w:hideMark/>
          </w:tcPr>
          <w:p w14:paraId="640A4823"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15.1</w:t>
            </w:r>
          </w:p>
        </w:tc>
        <w:tc>
          <w:tcPr>
            <w:tcW w:w="222" w:type="dxa"/>
            <w:tcBorders>
              <w:top w:val="nil"/>
              <w:left w:val="nil"/>
              <w:bottom w:val="nil"/>
              <w:right w:val="nil"/>
            </w:tcBorders>
            <w:shd w:val="clear" w:color="auto" w:fill="auto"/>
            <w:noWrap/>
            <w:vAlign w:val="bottom"/>
            <w:hideMark/>
          </w:tcPr>
          <w:p w14:paraId="797E65F1"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p>
        </w:tc>
        <w:tc>
          <w:tcPr>
            <w:tcW w:w="1096" w:type="dxa"/>
            <w:tcBorders>
              <w:top w:val="nil"/>
              <w:left w:val="nil"/>
              <w:bottom w:val="nil"/>
              <w:right w:val="nil"/>
            </w:tcBorders>
            <w:shd w:val="clear" w:color="auto" w:fill="auto"/>
            <w:noWrap/>
            <w:vAlign w:val="bottom"/>
            <w:hideMark/>
          </w:tcPr>
          <w:p w14:paraId="0119B8BA" w14:textId="3E037D90"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9.3</w:t>
            </w:r>
          </w:p>
        </w:tc>
        <w:tc>
          <w:tcPr>
            <w:tcW w:w="883" w:type="dxa"/>
            <w:tcBorders>
              <w:top w:val="nil"/>
              <w:left w:val="nil"/>
              <w:bottom w:val="nil"/>
              <w:right w:val="nil"/>
            </w:tcBorders>
            <w:shd w:val="clear" w:color="auto" w:fill="auto"/>
            <w:noWrap/>
            <w:vAlign w:val="bottom"/>
            <w:hideMark/>
          </w:tcPr>
          <w:p w14:paraId="52D079E2" w14:textId="26F4C1F3"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3.4</w:t>
            </w:r>
          </w:p>
        </w:tc>
        <w:tc>
          <w:tcPr>
            <w:tcW w:w="883" w:type="dxa"/>
            <w:tcBorders>
              <w:top w:val="nil"/>
              <w:left w:val="nil"/>
              <w:bottom w:val="nil"/>
              <w:right w:val="nil"/>
            </w:tcBorders>
            <w:shd w:val="clear" w:color="auto" w:fill="auto"/>
            <w:noWrap/>
            <w:vAlign w:val="bottom"/>
            <w:hideMark/>
          </w:tcPr>
          <w:p w14:paraId="22E0A36E" w14:textId="16C14971"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14.5</w:t>
            </w:r>
          </w:p>
        </w:tc>
        <w:tc>
          <w:tcPr>
            <w:tcW w:w="222" w:type="dxa"/>
            <w:tcBorders>
              <w:top w:val="nil"/>
              <w:left w:val="nil"/>
              <w:bottom w:val="nil"/>
              <w:right w:val="nil"/>
            </w:tcBorders>
            <w:shd w:val="clear" w:color="auto" w:fill="auto"/>
            <w:noWrap/>
            <w:vAlign w:val="bottom"/>
            <w:hideMark/>
          </w:tcPr>
          <w:p w14:paraId="1EEA671D"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p>
        </w:tc>
        <w:tc>
          <w:tcPr>
            <w:tcW w:w="1096" w:type="dxa"/>
            <w:tcBorders>
              <w:top w:val="nil"/>
              <w:left w:val="nil"/>
              <w:bottom w:val="nil"/>
              <w:right w:val="nil"/>
            </w:tcBorders>
            <w:shd w:val="clear" w:color="auto" w:fill="auto"/>
            <w:noWrap/>
            <w:vAlign w:val="bottom"/>
            <w:hideMark/>
          </w:tcPr>
          <w:p w14:paraId="21828733" w14:textId="102B3671"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21.5</w:t>
            </w:r>
          </w:p>
        </w:tc>
        <w:tc>
          <w:tcPr>
            <w:tcW w:w="956" w:type="dxa"/>
            <w:tcBorders>
              <w:top w:val="nil"/>
              <w:left w:val="nil"/>
              <w:bottom w:val="nil"/>
              <w:right w:val="nil"/>
            </w:tcBorders>
            <w:shd w:val="clear" w:color="auto" w:fill="auto"/>
            <w:noWrap/>
            <w:vAlign w:val="bottom"/>
            <w:hideMark/>
          </w:tcPr>
          <w:p w14:paraId="278963D4"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4.7</w:t>
            </w:r>
          </w:p>
        </w:tc>
        <w:tc>
          <w:tcPr>
            <w:tcW w:w="1035" w:type="dxa"/>
            <w:tcBorders>
              <w:top w:val="nil"/>
              <w:left w:val="nil"/>
              <w:bottom w:val="nil"/>
              <w:right w:val="nil"/>
            </w:tcBorders>
            <w:shd w:val="clear" w:color="auto" w:fill="auto"/>
            <w:noWrap/>
            <w:vAlign w:val="bottom"/>
            <w:hideMark/>
          </w:tcPr>
          <w:p w14:paraId="5CC78D9C" w14:textId="64D43DFA"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17.</w:t>
            </w:r>
            <w:r w:rsidR="00430467">
              <w:rPr>
                <w:rFonts w:ascii="Times New Roman" w:eastAsia="Times New Roman" w:hAnsi="Times New Roman" w:cs="Times New Roman"/>
                <w:color w:val="000000"/>
                <w:sz w:val="24"/>
                <w:szCs w:val="24"/>
              </w:rPr>
              <w:t>9</w:t>
            </w:r>
          </w:p>
        </w:tc>
      </w:tr>
      <w:tr w:rsidR="000F7C00" w:rsidRPr="00F46D68" w14:paraId="1CE3E8C4" w14:textId="77777777" w:rsidTr="00211FA3">
        <w:trPr>
          <w:trHeight w:val="294"/>
          <w:jc w:val="center"/>
        </w:trPr>
        <w:tc>
          <w:tcPr>
            <w:tcW w:w="1486" w:type="dxa"/>
            <w:tcBorders>
              <w:top w:val="nil"/>
              <w:left w:val="nil"/>
              <w:bottom w:val="nil"/>
              <w:right w:val="nil"/>
            </w:tcBorders>
            <w:shd w:val="clear" w:color="auto" w:fill="auto"/>
            <w:noWrap/>
            <w:vAlign w:val="bottom"/>
            <w:hideMark/>
          </w:tcPr>
          <w:p w14:paraId="3B4F64DA" w14:textId="77777777" w:rsidR="000F7C00" w:rsidRPr="00877DC2" w:rsidRDefault="000F7C00" w:rsidP="00211FA3">
            <w:pPr>
              <w:spacing w:after="0" w:line="240" w:lineRule="auto"/>
              <w:jc w:val="right"/>
              <w:rPr>
                <w:rFonts w:ascii="Times New Roman" w:eastAsia="Times New Roman" w:hAnsi="Times New Roman" w:cs="Times New Roman"/>
                <w:color w:val="000000"/>
                <w:sz w:val="24"/>
                <w:szCs w:val="24"/>
              </w:rPr>
            </w:pPr>
          </w:p>
        </w:tc>
        <w:tc>
          <w:tcPr>
            <w:tcW w:w="1096" w:type="dxa"/>
            <w:tcBorders>
              <w:top w:val="nil"/>
              <w:left w:val="nil"/>
              <w:bottom w:val="nil"/>
              <w:right w:val="nil"/>
            </w:tcBorders>
            <w:shd w:val="clear" w:color="auto" w:fill="auto"/>
            <w:noWrap/>
            <w:hideMark/>
          </w:tcPr>
          <w:p w14:paraId="6FDCCAA5"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37.7%</w:t>
            </w:r>
          </w:p>
        </w:tc>
        <w:tc>
          <w:tcPr>
            <w:tcW w:w="1075" w:type="dxa"/>
            <w:tcBorders>
              <w:top w:val="nil"/>
              <w:left w:val="nil"/>
              <w:bottom w:val="nil"/>
              <w:right w:val="nil"/>
            </w:tcBorders>
            <w:shd w:val="clear" w:color="auto" w:fill="auto"/>
            <w:noWrap/>
            <w:hideMark/>
          </w:tcPr>
          <w:p w14:paraId="045718C7"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10.9%</w:t>
            </w:r>
          </w:p>
        </w:tc>
        <w:tc>
          <w:tcPr>
            <w:tcW w:w="956" w:type="dxa"/>
            <w:tcBorders>
              <w:top w:val="nil"/>
              <w:left w:val="nil"/>
              <w:bottom w:val="nil"/>
              <w:right w:val="nil"/>
            </w:tcBorders>
            <w:shd w:val="clear" w:color="auto" w:fill="auto"/>
            <w:noWrap/>
            <w:hideMark/>
          </w:tcPr>
          <w:p w14:paraId="1C5E2F16"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45.1%</w:t>
            </w:r>
          </w:p>
        </w:tc>
        <w:tc>
          <w:tcPr>
            <w:tcW w:w="222" w:type="dxa"/>
            <w:tcBorders>
              <w:top w:val="nil"/>
              <w:left w:val="nil"/>
              <w:bottom w:val="nil"/>
              <w:right w:val="nil"/>
            </w:tcBorders>
            <w:shd w:val="clear" w:color="auto" w:fill="auto"/>
            <w:noWrap/>
            <w:hideMark/>
          </w:tcPr>
          <w:p w14:paraId="64411996"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p>
        </w:tc>
        <w:tc>
          <w:tcPr>
            <w:tcW w:w="1096" w:type="dxa"/>
            <w:tcBorders>
              <w:top w:val="nil"/>
              <w:left w:val="nil"/>
              <w:bottom w:val="nil"/>
              <w:right w:val="nil"/>
            </w:tcBorders>
            <w:shd w:val="clear" w:color="auto" w:fill="auto"/>
            <w:noWrap/>
            <w:hideMark/>
          </w:tcPr>
          <w:p w14:paraId="307F6AFB"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41.4%</w:t>
            </w:r>
          </w:p>
        </w:tc>
        <w:tc>
          <w:tcPr>
            <w:tcW w:w="956" w:type="dxa"/>
            <w:tcBorders>
              <w:top w:val="nil"/>
              <w:left w:val="nil"/>
              <w:bottom w:val="nil"/>
              <w:right w:val="nil"/>
            </w:tcBorders>
            <w:shd w:val="clear" w:color="auto" w:fill="auto"/>
            <w:noWrap/>
            <w:hideMark/>
          </w:tcPr>
          <w:p w14:paraId="2337F0B5"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10.1%</w:t>
            </w:r>
          </w:p>
        </w:tc>
        <w:tc>
          <w:tcPr>
            <w:tcW w:w="956" w:type="dxa"/>
            <w:tcBorders>
              <w:top w:val="nil"/>
              <w:left w:val="nil"/>
              <w:bottom w:val="nil"/>
              <w:right w:val="nil"/>
            </w:tcBorders>
            <w:shd w:val="clear" w:color="auto" w:fill="auto"/>
            <w:noWrap/>
            <w:hideMark/>
          </w:tcPr>
          <w:p w14:paraId="341A1B35"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40.6%</w:t>
            </w:r>
          </w:p>
        </w:tc>
        <w:tc>
          <w:tcPr>
            <w:tcW w:w="222" w:type="dxa"/>
            <w:tcBorders>
              <w:top w:val="nil"/>
              <w:left w:val="nil"/>
              <w:bottom w:val="nil"/>
              <w:right w:val="nil"/>
            </w:tcBorders>
            <w:shd w:val="clear" w:color="auto" w:fill="auto"/>
            <w:noWrap/>
            <w:hideMark/>
          </w:tcPr>
          <w:p w14:paraId="689296B8"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p>
        </w:tc>
        <w:tc>
          <w:tcPr>
            <w:tcW w:w="1096" w:type="dxa"/>
            <w:tcBorders>
              <w:top w:val="nil"/>
              <w:left w:val="nil"/>
              <w:bottom w:val="nil"/>
              <w:right w:val="nil"/>
            </w:tcBorders>
            <w:shd w:val="clear" w:color="auto" w:fill="auto"/>
            <w:noWrap/>
            <w:hideMark/>
          </w:tcPr>
          <w:p w14:paraId="5AAD0235"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32.7%</w:t>
            </w:r>
          </w:p>
        </w:tc>
        <w:tc>
          <w:tcPr>
            <w:tcW w:w="883" w:type="dxa"/>
            <w:tcBorders>
              <w:top w:val="nil"/>
              <w:left w:val="nil"/>
              <w:bottom w:val="nil"/>
              <w:right w:val="nil"/>
            </w:tcBorders>
            <w:shd w:val="clear" w:color="auto" w:fill="auto"/>
            <w:noWrap/>
            <w:hideMark/>
          </w:tcPr>
          <w:p w14:paraId="3A3AA4A3"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11.9%</w:t>
            </w:r>
          </w:p>
        </w:tc>
        <w:tc>
          <w:tcPr>
            <w:tcW w:w="883" w:type="dxa"/>
            <w:tcBorders>
              <w:top w:val="nil"/>
              <w:left w:val="nil"/>
              <w:bottom w:val="nil"/>
              <w:right w:val="nil"/>
            </w:tcBorders>
            <w:shd w:val="clear" w:color="auto" w:fill="auto"/>
            <w:noWrap/>
            <w:hideMark/>
          </w:tcPr>
          <w:p w14:paraId="76CAE4F1"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50.9%</w:t>
            </w:r>
          </w:p>
        </w:tc>
        <w:tc>
          <w:tcPr>
            <w:tcW w:w="222" w:type="dxa"/>
            <w:tcBorders>
              <w:top w:val="nil"/>
              <w:left w:val="nil"/>
              <w:bottom w:val="nil"/>
              <w:right w:val="nil"/>
            </w:tcBorders>
            <w:shd w:val="clear" w:color="auto" w:fill="auto"/>
            <w:noWrap/>
            <w:hideMark/>
          </w:tcPr>
          <w:p w14:paraId="60BDE8AF"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p>
        </w:tc>
        <w:tc>
          <w:tcPr>
            <w:tcW w:w="1096" w:type="dxa"/>
            <w:tcBorders>
              <w:top w:val="nil"/>
              <w:left w:val="nil"/>
              <w:bottom w:val="nil"/>
              <w:right w:val="nil"/>
            </w:tcBorders>
            <w:shd w:val="clear" w:color="auto" w:fill="auto"/>
            <w:noWrap/>
            <w:hideMark/>
          </w:tcPr>
          <w:p w14:paraId="70947A95"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43.8%</w:t>
            </w:r>
          </w:p>
        </w:tc>
        <w:tc>
          <w:tcPr>
            <w:tcW w:w="956" w:type="dxa"/>
            <w:tcBorders>
              <w:top w:val="nil"/>
              <w:left w:val="nil"/>
              <w:bottom w:val="nil"/>
              <w:right w:val="nil"/>
            </w:tcBorders>
            <w:shd w:val="clear" w:color="auto" w:fill="auto"/>
            <w:noWrap/>
            <w:hideMark/>
          </w:tcPr>
          <w:p w14:paraId="0B2F8D62"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9.6%</w:t>
            </w:r>
          </w:p>
        </w:tc>
        <w:tc>
          <w:tcPr>
            <w:tcW w:w="1035" w:type="dxa"/>
            <w:tcBorders>
              <w:top w:val="nil"/>
              <w:left w:val="nil"/>
              <w:bottom w:val="nil"/>
              <w:right w:val="nil"/>
            </w:tcBorders>
            <w:shd w:val="clear" w:color="auto" w:fill="auto"/>
            <w:noWrap/>
            <w:hideMark/>
          </w:tcPr>
          <w:p w14:paraId="3A4FA7C4"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36.4%</w:t>
            </w:r>
          </w:p>
        </w:tc>
      </w:tr>
      <w:tr w:rsidR="000F7C00" w:rsidRPr="00F46D68" w14:paraId="158DD68C" w14:textId="77777777" w:rsidTr="00211FA3">
        <w:trPr>
          <w:trHeight w:val="275"/>
          <w:jc w:val="center"/>
        </w:trPr>
        <w:tc>
          <w:tcPr>
            <w:tcW w:w="1486" w:type="dxa"/>
            <w:tcBorders>
              <w:top w:val="nil"/>
              <w:left w:val="nil"/>
              <w:bottom w:val="nil"/>
              <w:right w:val="nil"/>
            </w:tcBorders>
            <w:shd w:val="clear" w:color="auto" w:fill="auto"/>
            <w:noWrap/>
            <w:vAlign w:val="bottom"/>
            <w:hideMark/>
          </w:tcPr>
          <w:p w14:paraId="6E656385" w14:textId="77777777" w:rsidR="000F7C00" w:rsidRPr="00877DC2" w:rsidRDefault="000F7C00" w:rsidP="00211FA3">
            <w:pPr>
              <w:spacing w:after="0" w:line="240" w:lineRule="auto"/>
              <w:jc w:val="right"/>
              <w:rPr>
                <w:rFonts w:ascii="Times New Roman" w:eastAsia="Times New Roman" w:hAnsi="Times New Roman" w:cs="Times New Roman"/>
                <w:color w:val="000000"/>
                <w:sz w:val="24"/>
                <w:szCs w:val="24"/>
              </w:rPr>
            </w:pPr>
          </w:p>
        </w:tc>
        <w:tc>
          <w:tcPr>
            <w:tcW w:w="1096" w:type="dxa"/>
            <w:tcBorders>
              <w:top w:val="nil"/>
              <w:left w:val="nil"/>
              <w:bottom w:val="nil"/>
              <w:right w:val="nil"/>
            </w:tcBorders>
            <w:shd w:val="clear" w:color="auto" w:fill="auto"/>
            <w:noWrap/>
            <w:vAlign w:val="bottom"/>
            <w:hideMark/>
          </w:tcPr>
          <w:p w14:paraId="42A7C79F" w14:textId="77777777" w:rsidR="000F7C00" w:rsidRPr="00877DC2" w:rsidRDefault="000F7C00" w:rsidP="00211FA3">
            <w:pPr>
              <w:spacing w:after="0" w:line="240" w:lineRule="auto"/>
              <w:rPr>
                <w:rFonts w:ascii="Times New Roman" w:eastAsia="Times New Roman" w:hAnsi="Times New Roman" w:cs="Times New Roman"/>
                <w:sz w:val="24"/>
                <w:szCs w:val="24"/>
              </w:rPr>
            </w:pPr>
          </w:p>
        </w:tc>
        <w:tc>
          <w:tcPr>
            <w:tcW w:w="1075" w:type="dxa"/>
            <w:tcBorders>
              <w:top w:val="nil"/>
              <w:left w:val="nil"/>
              <w:bottom w:val="nil"/>
              <w:right w:val="nil"/>
            </w:tcBorders>
            <w:shd w:val="clear" w:color="auto" w:fill="auto"/>
            <w:noWrap/>
            <w:vAlign w:val="bottom"/>
            <w:hideMark/>
          </w:tcPr>
          <w:p w14:paraId="39A20497" w14:textId="77777777" w:rsidR="000F7C00" w:rsidRPr="00877DC2" w:rsidRDefault="000F7C00" w:rsidP="00211FA3">
            <w:pPr>
              <w:spacing w:after="0" w:line="240" w:lineRule="auto"/>
              <w:rPr>
                <w:rFonts w:ascii="Times New Roman" w:eastAsia="Times New Roman" w:hAnsi="Times New Roman" w:cs="Times New Roman"/>
                <w:sz w:val="24"/>
                <w:szCs w:val="24"/>
              </w:rPr>
            </w:pPr>
          </w:p>
        </w:tc>
        <w:tc>
          <w:tcPr>
            <w:tcW w:w="956" w:type="dxa"/>
            <w:tcBorders>
              <w:top w:val="nil"/>
              <w:left w:val="nil"/>
              <w:bottom w:val="nil"/>
              <w:right w:val="nil"/>
            </w:tcBorders>
            <w:shd w:val="clear" w:color="auto" w:fill="auto"/>
            <w:noWrap/>
            <w:vAlign w:val="bottom"/>
            <w:hideMark/>
          </w:tcPr>
          <w:p w14:paraId="1796E8EE" w14:textId="77777777" w:rsidR="000F7C00" w:rsidRPr="00877DC2" w:rsidRDefault="000F7C00" w:rsidP="00211FA3">
            <w:pPr>
              <w:spacing w:after="0" w:line="240" w:lineRule="auto"/>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14:paraId="13729E4C" w14:textId="77777777" w:rsidR="000F7C00" w:rsidRPr="00877DC2" w:rsidRDefault="000F7C00" w:rsidP="00211FA3">
            <w:pPr>
              <w:spacing w:after="0" w:line="240" w:lineRule="auto"/>
              <w:rPr>
                <w:rFonts w:ascii="Times New Roman" w:eastAsia="Times New Roman" w:hAnsi="Times New Roman" w:cs="Times New Roman"/>
                <w:sz w:val="24"/>
                <w:szCs w:val="24"/>
              </w:rPr>
            </w:pPr>
          </w:p>
        </w:tc>
        <w:tc>
          <w:tcPr>
            <w:tcW w:w="1096" w:type="dxa"/>
            <w:tcBorders>
              <w:top w:val="nil"/>
              <w:left w:val="nil"/>
              <w:bottom w:val="nil"/>
              <w:right w:val="nil"/>
            </w:tcBorders>
            <w:shd w:val="clear" w:color="auto" w:fill="auto"/>
            <w:noWrap/>
            <w:vAlign w:val="bottom"/>
            <w:hideMark/>
          </w:tcPr>
          <w:p w14:paraId="2F2F870D" w14:textId="77777777" w:rsidR="000F7C00" w:rsidRPr="00877DC2" w:rsidRDefault="000F7C00" w:rsidP="00211FA3">
            <w:pPr>
              <w:spacing w:after="0" w:line="240" w:lineRule="auto"/>
              <w:rPr>
                <w:rFonts w:ascii="Times New Roman" w:eastAsia="Times New Roman" w:hAnsi="Times New Roman" w:cs="Times New Roman"/>
                <w:sz w:val="24"/>
                <w:szCs w:val="24"/>
              </w:rPr>
            </w:pPr>
          </w:p>
        </w:tc>
        <w:tc>
          <w:tcPr>
            <w:tcW w:w="956" w:type="dxa"/>
            <w:tcBorders>
              <w:top w:val="nil"/>
              <w:left w:val="nil"/>
              <w:bottom w:val="nil"/>
              <w:right w:val="nil"/>
            </w:tcBorders>
            <w:shd w:val="clear" w:color="auto" w:fill="auto"/>
            <w:noWrap/>
            <w:vAlign w:val="bottom"/>
            <w:hideMark/>
          </w:tcPr>
          <w:p w14:paraId="4D5CD577" w14:textId="77777777" w:rsidR="000F7C00" w:rsidRPr="00877DC2" w:rsidRDefault="000F7C00" w:rsidP="00211FA3">
            <w:pPr>
              <w:spacing w:after="0" w:line="240" w:lineRule="auto"/>
              <w:rPr>
                <w:rFonts w:ascii="Times New Roman" w:eastAsia="Times New Roman" w:hAnsi="Times New Roman" w:cs="Times New Roman"/>
                <w:sz w:val="24"/>
                <w:szCs w:val="24"/>
              </w:rPr>
            </w:pPr>
          </w:p>
        </w:tc>
        <w:tc>
          <w:tcPr>
            <w:tcW w:w="956" w:type="dxa"/>
            <w:tcBorders>
              <w:top w:val="nil"/>
              <w:left w:val="nil"/>
              <w:bottom w:val="nil"/>
              <w:right w:val="nil"/>
            </w:tcBorders>
            <w:shd w:val="clear" w:color="auto" w:fill="auto"/>
            <w:noWrap/>
            <w:vAlign w:val="bottom"/>
            <w:hideMark/>
          </w:tcPr>
          <w:p w14:paraId="7D76049A" w14:textId="77777777" w:rsidR="000F7C00" w:rsidRPr="00877DC2" w:rsidRDefault="000F7C00" w:rsidP="00211FA3">
            <w:pPr>
              <w:spacing w:after="0" w:line="240" w:lineRule="auto"/>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14:paraId="339B8800" w14:textId="77777777" w:rsidR="000F7C00" w:rsidRPr="00877DC2" w:rsidRDefault="000F7C00" w:rsidP="00211FA3">
            <w:pPr>
              <w:spacing w:after="0" w:line="240" w:lineRule="auto"/>
              <w:rPr>
                <w:rFonts w:ascii="Times New Roman" w:eastAsia="Times New Roman" w:hAnsi="Times New Roman" w:cs="Times New Roman"/>
                <w:sz w:val="24"/>
                <w:szCs w:val="24"/>
              </w:rPr>
            </w:pPr>
          </w:p>
        </w:tc>
        <w:tc>
          <w:tcPr>
            <w:tcW w:w="1096" w:type="dxa"/>
            <w:tcBorders>
              <w:top w:val="nil"/>
              <w:left w:val="nil"/>
              <w:bottom w:val="nil"/>
              <w:right w:val="nil"/>
            </w:tcBorders>
            <w:shd w:val="clear" w:color="auto" w:fill="auto"/>
            <w:noWrap/>
            <w:vAlign w:val="bottom"/>
            <w:hideMark/>
          </w:tcPr>
          <w:p w14:paraId="70BD2BCF" w14:textId="77777777" w:rsidR="000F7C00" w:rsidRPr="00877DC2" w:rsidRDefault="000F7C00" w:rsidP="00211FA3">
            <w:pPr>
              <w:spacing w:after="0" w:line="240" w:lineRule="auto"/>
              <w:rPr>
                <w:rFonts w:ascii="Times New Roman" w:eastAsia="Times New Roman" w:hAnsi="Times New Roman" w:cs="Times New Roman"/>
                <w:sz w:val="24"/>
                <w:szCs w:val="24"/>
              </w:rPr>
            </w:pPr>
          </w:p>
        </w:tc>
        <w:tc>
          <w:tcPr>
            <w:tcW w:w="883" w:type="dxa"/>
            <w:tcBorders>
              <w:top w:val="nil"/>
              <w:left w:val="nil"/>
              <w:bottom w:val="nil"/>
              <w:right w:val="nil"/>
            </w:tcBorders>
            <w:shd w:val="clear" w:color="auto" w:fill="auto"/>
            <w:noWrap/>
            <w:vAlign w:val="bottom"/>
            <w:hideMark/>
          </w:tcPr>
          <w:p w14:paraId="24468CCD" w14:textId="77777777" w:rsidR="000F7C00" w:rsidRPr="00877DC2" w:rsidRDefault="000F7C00" w:rsidP="00211FA3">
            <w:pPr>
              <w:spacing w:after="0" w:line="240" w:lineRule="auto"/>
              <w:rPr>
                <w:rFonts w:ascii="Times New Roman" w:eastAsia="Times New Roman" w:hAnsi="Times New Roman" w:cs="Times New Roman"/>
                <w:sz w:val="24"/>
                <w:szCs w:val="24"/>
              </w:rPr>
            </w:pPr>
          </w:p>
        </w:tc>
        <w:tc>
          <w:tcPr>
            <w:tcW w:w="883" w:type="dxa"/>
            <w:tcBorders>
              <w:top w:val="nil"/>
              <w:left w:val="nil"/>
              <w:bottom w:val="nil"/>
              <w:right w:val="nil"/>
            </w:tcBorders>
            <w:shd w:val="clear" w:color="auto" w:fill="auto"/>
            <w:noWrap/>
            <w:vAlign w:val="bottom"/>
            <w:hideMark/>
          </w:tcPr>
          <w:p w14:paraId="41945DD4" w14:textId="77777777" w:rsidR="000F7C00" w:rsidRPr="00877DC2" w:rsidRDefault="000F7C00" w:rsidP="00211FA3">
            <w:pPr>
              <w:spacing w:after="0" w:line="240" w:lineRule="auto"/>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14:paraId="73E0612F" w14:textId="77777777" w:rsidR="000F7C00" w:rsidRPr="00877DC2" w:rsidRDefault="000F7C00" w:rsidP="00211FA3">
            <w:pPr>
              <w:spacing w:after="0" w:line="240" w:lineRule="auto"/>
              <w:rPr>
                <w:rFonts w:ascii="Times New Roman" w:eastAsia="Times New Roman" w:hAnsi="Times New Roman" w:cs="Times New Roman"/>
                <w:sz w:val="24"/>
                <w:szCs w:val="24"/>
              </w:rPr>
            </w:pPr>
          </w:p>
        </w:tc>
        <w:tc>
          <w:tcPr>
            <w:tcW w:w="1096" w:type="dxa"/>
            <w:tcBorders>
              <w:top w:val="nil"/>
              <w:left w:val="nil"/>
              <w:bottom w:val="nil"/>
              <w:right w:val="nil"/>
            </w:tcBorders>
            <w:shd w:val="clear" w:color="auto" w:fill="auto"/>
            <w:noWrap/>
            <w:vAlign w:val="bottom"/>
            <w:hideMark/>
          </w:tcPr>
          <w:p w14:paraId="01FD39BF" w14:textId="77777777" w:rsidR="000F7C00" w:rsidRPr="00877DC2" w:rsidRDefault="000F7C00" w:rsidP="00211FA3">
            <w:pPr>
              <w:spacing w:after="0" w:line="240" w:lineRule="auto"/>
              <w:rPr>
                <w:rFonts w:ascii="Times New Roman" w:eastAsia="Times New Roman" w:hAnsi="Times New Roman" w:cs="Times New Roman"/>
                <w:sz w:val="24"/>
                <w:szCs w:val="24"/>
              </w:rPr>
            </w:pPr>
          </w:p>
        </w:tc>
        <w:tc>
          <w:tcPr>
            <w:tcW w:w="956" w:type="dxa"/>
            <w:tcBorders>
              <w:top w:val="nil"/>
              <w:left w:val="nil"/>
              <w:bottom w:val="nil"/>
              <w:right w:val="nil"/>
            </w:tcBorders>
            <w:shd w:val="clear" w:color="auto" w:fill="auto"/>
            <w:noWrap/>
            <w:vAlign w:val="bottom"/>
            <w:hideMark/>
          </w:tcPr>
          <w:p w14:paraId="6A9CF6A0" w14:textId="77777777" w:rsidR="000F7C00" w:rsidRPr="00877DC2" w:rsidRDefault="000F7C00" w:rsidP="00211FA3">
            <w:pPr>
              <w:spacing w:after="0" w:line="240" w:lineRule="auto"/>
              <w:rPr>
                <w:rFonts w:ascii="Times New Roman" w:eastAsia="Times New Roman" w:hAnsi="Times New Roman" w:cs="Times New Roman"/>
                <w:sz w:val="24"/>
                <w:szCs w:val="24"/>
              </w:rPr>
            </w:pPr>
          </w:p>
        </w:tc>
        <w:tc>
          <w:tcPr>
            <w:tcW w:w="1035" w:type="dxa"/>
            <w:tcBorders>
              <w:top w:val="nil"/>
              <w:left w:val="nil"/>
              <w:bottom w:val="nil"/>
              <w:right w:val="nil"/>
            </w:tcBorders>
            <w:shd w:val="clear" w:color="auto" w:fill="auto"/>
            <w:noWrap/>
            <w:vAlign w:val="bottom"/>
            <w:hideMark/>
          </w:tcPr>
          <w:p w14:paraId="22AE58B5" w14:textId="77777777" w:rsidR="000F7C00" w:rsidRPr="00877DC2" w:rsidRDefault="000F7C00" w:rsidP="00211FA3">
            <w:pPr>
              <w:spacing w:after="0" w:line="240" w:lineRule="auto"/>
              <w:rPr>
                <w:rFonts w:ascii="Times New Roman" w:eastAsia="Times New Roman" w:hAnsi="Times New Roman" w:cs="Times New Roman"/>
                <w:sz w:val="24"/>
                <w:szCs w:val="24"/>
              </w:rPr>
            </w:pPr>
          </w:p>
        </w:tc>
      </w:tr>
      <w:tr w:rsidR="000F7C00" w:rsidRPr="00F46D68" w14:paraId="44C122B0" w14:textId="77777777" w:rsidTr="00211FA3">
        <w:trPr>
          <w:trHeight w:val="284"/>
          <w:jc w:val="center"/>
        </w:trPr>
        <w:tc>
          <w:tcPr>
            <w:tcW w:w="14236" w:type="dxa"/>
            <w:gridSpan w:val="16"/>
            <w:tcBorders>
              <w:top w:val="nil"/>
              <w:left w:val="nil"/>
              <w:bottom w:val="nil"/>
              <w:right w:val="nil"/>
            </w:tcBorders>
            <w:shd w:val="clear" w:color="auto" w:fill="auto"/>
            <w:noWrap/>
            <w:vAlign w:val="center"/>
            <w:hideMark/>
          </w:tcPr>
          <w:p w14:paraId="7D6C7493" w14:textId="77777777" w:rsidR="000F7C00" w:rsidRPr="00877DC2" w:rsidRDefault="000F7C00" w:rsidP="00211FA3">
            <w:pPr>
              <w:spacing w:after="0" w:line="240" w:lineRule="auto"/>
              <w:jc w:val="center"/>
              <w:rPr>
                <w:rFonts w:ascii="Times New Roman" w:eastAsia="Times New Roman" w:hAnsi="Times New Roman" w:cs="Times New Roman"/>
                <w:b/>
                <w:bCs/>
                <w:color w:val="000000"/>
                <w:sz w:val="24"/>
                <w:szCs w:val="24"/>
              </w:rPr>
            </w:pPr>
            <w:r w:rsidRPr="00877DC2">
              <w:rPr>
                <w:rFonts w:ascii="Times New Roman" w:eastAsia="Times New Roman" w:hAnsi="Times New Roman" w:cs="Times New Roman"/>
                <w:b/>
                <w:bCs/>
                <w:color w:val="000000"/>
                <w:sz w:val="24"/>
                <w:szCs w:val="24"/>
              </w:rPr>
              <w:t>Panel B: Simulations for 2018</w:t>
            </w:r>
          </w:p>
        </w:tc>
      </w:tr>
      <w:tr w:rsidR="000F7C00" w:rsidRPr="00F46D68" w14:paraId="0263C889" w14:textId="77777777" w:rsidTr="00211FA3">
        <w:trPr>
          <w:trHeight w:val="432"/>
          <w:jc w:val="center"/>
        </w:trPr>
        <w:tc>
          <w:tcPr>
            <w:tcW w:w="1486" w:type="dxa"/>
            <w:vMerge w:val="restart"/>
            <w:tcBorders>
              <w:top w:val="nil"/>
              <w:left w:val="nil"/>
              <w:right w:val="nil"/>
            </w:tcBorders>
            <w:shd w:val="clear" w:color="auto" w:fill="auto"/>
            <w:noWrap/>
            <w:vAlign w:val="center"/>
            <w:hideMark/>
          </w:tcPr>
          <w:p w14:paraId="405C9A5F"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Raise BA share to 50%</w:t>
            </w:r>
          </w:p>
        </w:tc>
        <w:tc>
          <w:tcPr>
            <w:tcW w:w="1096" w:type="dxa"/>
            <w:tcBorders>
              <w:top w:val="nil"/>
              <w:left w:val="nil"/>
              <w:bottom w:val="nil"/>
              <w:right w:val="nil"/>
            </w:tcBorders>
            <w:shd w:val="clear" w:color="auto" w:fill="auto"/>
            <w:noWrap/>
            <w:vAlign w:val="bottom"/>
            <w:hideMark/>
          </w:tcPr>
          <w:p w14:paraId="3B9AFF96" w14:textId="282CBCEE" w:rsidR="000F7C00" w:rsidRPr="00877DC2" w:rsidRDefault="00565E21" w:rsidP="00211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w:t>
            </w:r>
          </w:p>
        </w:tc>
        <w:tc>
          <w:tcPr>
            <w:tcW w:w="1075" w:type="dxa"/>
            <w:tcBorders>
              <w:top w:val="nil"/>
              <w:left w:val="nil"/>
              <w:bottom w:val="nil"/>
              <w:right w:val="nil"/>
            </w:tcBorders>
            <w:shd w:val="clear" w:color="auto" w:fill="auto"/>
            <w:noWrap/>
            <w:vAlign w:val="bottom"/>
            <w:hideMark/>
          </w:tcPr>
          <w:p w14:paraId="444BE580" w14:textId="5758B566" w:rsidR="000F7C00" w:rsidRPr="00877DC2" w:rsidRDefault="00565E21" w:rsidP="00211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956" w:type="dxa"/>
            <w:tcBorders>
              <w:top w:val="nil"/>
              <w:left w:val="nil"/>
              <w:bottom w:val="nil"/>
              <w:right w:val="nil"/>
            </w:tcBorders>
            <w:shd w:val="clear" w:color="auto" w:fill="auto"/>
            <w:noWrap/>
            <w:vAlign w:val="bottom"/>
            <w:hideMark/>
          </w:tcPr>
          <w:p w14:paraId="2EB02855" w14:textId="0133FA14" w:rsidR="000F7C00" w:rsidRPr="00877DC2" w:rsidRDefault="00565E21" w:rsidP="00211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33.1</w:t>
            </w:r>
          </w:p>
        </w:tc>
        <w:tc>
          <w:tcPr>
            <w:tcW w:w="222" w:type="dxa"/>
            <w:tcBorders>
              <w:top w:val="nil"/>
              <w:left w:val="nil"/>
              <w:bottom w:val="nil"/>
              <w:right w:val="nil"/>
            </w:tcBorders>
            <w:shd w:val="clear" w:color="auto" w:fill="auto"/>
            <w:noWrap/>
            <w:vAlign w:val="bottom"/>
            <w:hideMark/>
          </w:tcPr>
          <w:p w14:paraId="37080DA3"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p>
        </w:tc>
        <w:tc>
          <w:tcPr>
            <w:tcW w:w="1096" w:type="dxa"/>
            <w:tcBorders>
              <w:top w:val="nil"/>
              <w:left w:val="nil"/>
              <w:bottom w:val="nil"/>
              <w:right w:val="nil"/>
            </w:tcBorders>
            <w:shd w:val="clear" w:color="auto" w:fill="auto"/>
            <w:noWrap/>
            <w:vAlign w:val="bottom"/>
            <w:hideMark/>
          </w:tcPr>
          <w:p w14:paraId="4AFFE800" w14:textId="420D7395"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13.</w:t>
            </w:r>
            <w:r w:rsidR="00AF4930">
              <w:rPr>
                <w:rFonts w:ascii="Times New Roman" w:eastAsia="Times New Roman" w:hAnsi="Times New Roman" w:cs="Times New Roman"/>
                <w:color w:val="000000"/>
                <w:sz w:val="24"/>
                <w:szCs w:val="24"/>
              </w:rPr>
              <w:t>3</w:t>
            </w:r>
          </w:p>
        </w:tc>
        <w:tc>
          <w:tcPr>
            <w:tcW w:w="956" w:type="dxa"/>
            <w:tcBorders>
              <w:top w:val="nil"/>
              <w:left w:val="nil"/>
              <w:bottom w:val="nil"/>
              <w:right w:val="nil"/>
            </w:tcBorders>
            <w:shd w:val="clear" w:color="auto" w:fill="auto"/>
            <w:noWrap/>
            <w:vAlign w:val="bottom"/>
            <w:hideMark/>
          </w:tcPr>
          <w:p w14:paraId="56743445" w14:textId="1917FC51"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3.</w:t>
            </w:r>
            <w:r w:rsidR="00AF4930">
              <w:rPr>
                <w:rFonts w:ascii="Times New Roman" w:eastAsia="Times New Roman" w:hAnsi="Times New Roman" w:cs="Times New Roman"/>
                <w:color w:val="000000"/>
                <w:sz w:val="24"/>
                <w:szCs w:val="24"/>
              </w:rPr>
              <w:t>8</w:t>
            </w:r>
          </w:p>
        </w:tc>
        <w:tc>
          <w:tcPr>
            <w:tcW w:w="956" w:type="dxa"/>
            <w:tcBorders>
              <w:top w:val="nil"/>
              <w:left w:val="nil"/>
              <w:bottom w:val="nil"/>
              <w:right w:val="nil"/>
            </w:tcBorders>
            <w:shd w:val="clear" w:color="auto" w:fill="auto"/>
            <w:noWrap/>
            <w:vAlign w:val="bottom"/>
            <w:hideMark/>
          </w:tcPr>
          <w:p w14:paraId="430626F7" w14:textId="48375E8E"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17.</w:t>
            </w:r>
            <w:r w:rsidR="00AF4930">
              <w:rPr>
                <w:rFonts w:ascii="Times New Roman" w:eastAsia="Times New Roman" w:hAnsi="Times New Roman" w:cs="Times New Roman"/>
                <w:color w:val="000000"/>
                <w:sz w:val="24"/>
                <w:szCs w:val="24"/>
              </w:rPr>
              <w:t>2</w:t>
            </w:r>
          </w:p>
        </w:tc>
        <w:tc>
          <w:tcPr>
            <w:tcW w:w="222" w:type="dxa"/>
            <w:tcBorders>
              <w:top w:val="nil"/>
              <w:left w:val="nil"/>
              <w:bottom w:val="nil"/>
              <w:right w:val="nil"/>
            </w:tcBorders>
            <w:shd w:val="clear" w:color="auto" w:fill="auto"/>
            <w:noWrap/>
            <w:vAlign w:val="bottom"/>
            <w:hideMark/>
          </w:tcPr>
          <w:p w14:paraId="5E119AC9"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p>
        </w:tc>
        <w:tc>
          <w:tcPr>
            <w:tcW w:w="1096" w:type="dxa"/>
            <w:tcBorders>
              <w:top w:val="nil"/>
              <w:left w:val="nil"/>
              <w:bottom w:val="nil"/>
              <w:right w:val="nil"/>
            </w:tcBorders>
            <w:shd w:val="clear" w:color="auto" w:fill="auto"/>
            <w:noWrap/>
            <w:vAlign w:val="bottom"/>
            <w:hideMark/>
          </w:tcPr>
          <w:p w14:paraId="646BEEAE" w14:textId="0F335118"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8.0</w:t>
            </w:r>
          </w:p>
        </w:tc>
        <w:tc>
          <w:tcPr>
            <w:tcW w:w="883" w:type="dxa"/>
            <w:tcBorders>
              <w:top w:val="nil"/>
              <w:left w:val="nil"/>
              <w:bottom w:val="nil"/>
              <w:right w:val="nil"/>
            </w:tcBorders>
            <w:shd w:val="clear" w:color="auto" w:fill="auto"/>
            <w:noWrap/>
            <w:vAlign w:val="bottom"/>
            <w:hideMark/>
          </w:tcPr>
          <w:p w14:paraId="1BB06500" w14:textId="3EBAC196"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3.4</w:t>
            </w:r>
          </w:p>
        </w:tc>
        <w:tc>
          <w:tcPr>
            <w:tcW w:w="883" w:type="dxa"/>
            <w:tcBorders>
              <w:top w:val="nil"/>
              <w:left w:val="nil"/>
              <w:bottom w:val="nil"/>
              <w:right w:val="nil"/>
            </w:tcBorders>
            <w:shd w:val="clear" w:color="auto" w:fill="auto"/>
            <w:noWrap/>
            <w:vAlign w:val="bottom"/>
            <w:hideMark/>
          </w:tcPr>
          <w:p w14:paraId="591F7808" w14:textId="1DA1765B"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15.8</w:t>
            </w:r>
          </w:p>
        </w:tc>
        <w:tc>
          <w:tcPr>
            <w:tcW w:w="222" w:type="dxa"/>
            <w:tcBorders>
              <w:top w:val="nil"/>
              <w:left w:val="nil"/>
              <w:bottom w:val="nil"/>
              <w:right w:val="nil"/>
            </w:tcBorders>
            <w:shd w:val="clear" w:color="auto" w:fill="auto"/>
            <w:noWrap/>
            <w:vAlign w:val="bottom"/>
            <w:hideMark/>
          </w:tcPr>
          <w:p w14:paraId="274CAC3D"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p>
        </w:tc>
        <w:tc>
          <w:tcPr>
            <w:tcW w:w="1096" w:type="dxa"/>
            <w:tcBorders>
              <w:top w:val="nil"/>
              <w:left w:val="nil"/>
              <w:bottom w:val="nil"/>
              <w:right w:val="nil"/>
            </w:tcBorders>
            <w:shd w:val="clear" w:color="auto" w:fill="auto"/>
            <w:noWrap/>
            <w:vAlign w:val="bottom"/>
            <w:hideMark/>
          </w:tcPr>
          <w:p w14:paraId="43787820" w14:textId="564632E3"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15.</w:t>
            </w:r>
            <w:r w:rsidR="00AF4930">
              <w:rPr>
                <w:rFonts w:ascii="Times New Roman" w:eastAsia="Times New Roman" w:hAnsi="Times New Roman" w:cs="Times New Roman"/>
                <w:color w:val="000000"/>
                <w:sz w:val="24"/>
                <w:szCs w:val="24"/>
              </w:rPr>
              <w:t>7</w:t>
            </w:r>
          </w:p>
        </w:tc>
        <w:tc>
          <w:tcPr>
            <w:tcW w:w="956" w:type="dxa"/>
            <w:tcBorders>
              <w:top w:val="nil"/>
              <w:left w:val="nil"/>
              <w:bottom w:val="nil"/>
              <w:right w:val="nil"/>
            </w:tcBorders>
            <w:shd w:val="clear" w:color="auto" w:fill="auto"/>
            <w:noWrap/>
            <w:vAlign w:val="bottom"/>
            <w:hideMark/>
          </w:tcPr>
          <w:p w14:paraId="7FA546E7"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4.7</w:t>
            </w:r>
          </w:p>
        </w:tc>
        <w:tc>
          <w:tcPr>
            <w:tcW w:w="1035" w:type="dxa"/>
            <w:tcBorders>
              <w:top w:val="nil"/>
              <w:left w:val="nil"/>
              <w:bottom w:val="nil"/>
              <w:right w:val="nil"/>
            </w:tcBorders>
            <w:shd w:val="clear" w:color="auto" w:fill="auto"/>
            <w:noWrap/>
            <w:vAlign w:val="bottom"/>
            <w:hideMark/>
          </w:tcPr>
          <w:p w14:paraId="029DFF9C" w14:textId="5E1B0049"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23.</w:t>
            </w:r>
            <w:r w:rsidR="00AF4930">
              <w:rPr>
                <w:rFonts w:ascii="Times New Roman" w:eastAsia="Times New Roman" w:hAnsi="Times New Roman" w:cs="Times New Roman"/>
                <w:color w:val="000000"/>
                <w:sz w:val="24"/>
                <w:szCs w:val="24"/>
              </w:rPr>
              <w:t>8</w:t>
            </w:r>
          </w:p>
        </w:tc>
      </w:tr>
      <w:tr w:rsidR="000F7C00" w:rsidRPr="00F46D68" w14:paraId="19E58FE2" w14:textId="77777777" w:rsidTr="00211FA3">
        <w:trPr>
          <w:trHeight w:val="294"/>
          <w:jc w:val="center"/>
        </w:trPr>
        <w:tc>
          <w:tcPr>
            <w:tcW w:w="1486" w:type="dxa"/>
            <w:vMerge/>
            <w:tcBorders>
              <w:left w:val="nil"/>
              <w:bottom w:val="nil"/>
              <w:right w:val="nil"/>
            </w:tcBorders>
            <w:shd w:val="clear" w:color="auto" w:fill="auto"/>
            <w:noWrap/>
            <w:vAlign w:val="bottom"/>
            <w:hideMark/>
          </w:tcPr>
          <w:p w14:paraId="4910E07A" w14:textId="77777777" w:rsidR="000F7C00" w:rsidRPr="00877DC2" w:rsidRDefault="000F7C00" w:rsidP="00211FA3">
            <w:pPr>
              <w:spacing w:after="0" w:line="240" w:lineRule="auto"/>
              <w:jc w:val="right"/>
              <w:rPr>
                <w:rFonts w:ascii="Times New Roman" w:eastAsia="Times New Roman" w:hAnsi="Times New Roman" w:cs="Times New Roman"/>
                <w:color w:val="000000"/>
                <w:sz w:val="24"/>
                <w:szCs w:val="24"/>
              </w:rPr>
            </w:pPr>
          </w:p>
        </w:tc>
        <w:tc>
          <w:tcPr>
            <w:tcW w:w="1096" w:type="dxa"/>
            <w:tcBorders>
              <w:top w:val="nil"/>
              <w:left w:val="nil"/>
              <w:bottom w:val="nil"/>
              <w:right w:val="nil"/>
            </w:tcBorders>
            <w:shd w:val="clear" w:color="auto" w:fill="auto"/>
            <w:noWrap/>
            <w:hideMark/>
          </w:tcPr>
          <w:p w14:paraId="27807558" w14:textId="4EF365D1" w:rsidR="000F7C00" w:rsidRPr="00877DC2" w:rsidRDefault="00565E21" w:rsidP="00211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32.4</w:t>
            </w:r>
            <w:r w:rsidR="000F7C00" w:rsidRPr="00877DC2">
              <w:rPr>
                <w:rFonts w:ascii="Times New Roman" w:eastAsia="Times New Roman" w:hAnsi="Times New Roman" w:cs="Times New Roman"/>
                <w:color w:val="000000"/>
                <w:sz w:val="24"/>
                <w:szCs w:val="24"/>
              </w:rPr>
              <w:t>%</w:t>
            </w:r>
          </w:p>
        </w:tc>
        <w:tc>
          <w:tcPr>
            <w:tcW w:w="1075" w:type="dxa"/>
            <w:tcBorders>
              <w:top w:val="nil"/>
              <w:left w:val="nil"/>
              <w:bottom w:val="nil"/>
              <w:right w:val="nil"/>
            </w:tcBorders>
            <w:shd w:val="clear" w:color="auto" w:fill="auto"/>
            <w:noWrap/>
            <w:hideMark/>
          </w:tcPr>
          <w:p w14:paraId="062278AE" w14:textId="6A95CF6D"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10.</w:t>
            </w:r>
            <w:r w:rsidR="00565E21">
              <w:rPr>
                <w:rFonts w:ascii="Times New Roman" w:eastAsia="Times New Roman" w:hAnsi="Times New Roman" w:cs="Times New Roman"/>
                <w:color w:val="000000"/>
                <w:sz w:val="24"/>
                <w:szCs w:val="24"/>
              </w:rPr>
              <w:t>9</w:t>
            </w:r>
            <w:r w:rsidRPr="00877DC2">
              <w:rPr>
                <w:rFonts w:ascii="Times New Roman" w:eastAsia="Times New Roman" w:hAnsi="Times New Roman" w:cs="Times New Roman"/>
                <w:color w:val="000000"/>
                <w:sz w:val="24"/>
                <w:szCs w:val="24"/>
              </w:rPr>
              <w:t>%</w:t>
            </w:r>
          </w:p>
        </w:tc>
        <w:tc>
          <w:tcPr>
            <w:tcW w:w="956" w:type="dxa"/>
            <w:tcBorders>
              <w:top w:val="nil"/>
              <w:left w:val="nil"/>
              <w:bottom w:val="nil"/>
              <w:right w:val="nil"/>
            </w:tcBorders>
            <w:shd w:val="clear" w:color="auto" w:fill="auto"/>
            <w:noWrap/>
            <w:hideMark/>
          </w:tcPr>
          <w:p w14:paraId="737C582A" w14:textId="104373E6"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50.</w:t>
            </w:r>
            <w:r w:rsidR="00565E21">
              <w:rPr>
                <w:rFonts w:ascii="Times New Roman" w:eastAsia="Times New Roman" w:hAnsi="Times New Roman" w:cs="Times New Roman"/>
                <w:color w:val="000000"/>
                <w:sz w:val="24"/>
                <w:szCs w:val="24"/>
              </w:rPr>
              <w:t>3</w:t>
            </w:r>
            <w:r w:rsidRPr="00877DC2">
              <w:rPr>
                <w:rFonts w:ascii="Times New Roman" w:eastAsia="Times New Roman" w:hAnsi="Times New Roman" w:cs="Times New Roman"/>
                <w:color w:val="000000"/>
                <w:sz w:val="24"/>
                <w:szCs w:val="24"/>
              </w:rPr>
              <w:t>%</w:t>
            </w:r>
          </w:p>
        </w:tc>
        <w:tc>
          <w:tcPr>
            <w:tcW w:w="222" w:type="dxa"/>
            <w:tcBorders>
              <w:top w:val="nil"/>
              <w:left w:val="nil"/>
              <w:bottom w:val="nil"/>
              <w:right w:val="nil"/>
            </w:tcBorders>
            <w:shd w:val="clear" w:color="auto" w:fill="auto"/>
            <w:noWrap/>
            <w:hideMark/>
          </w:tcPr>
          <w:p w14:paraId="044F42DD"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p>
        </w:tc>
        <w:tc>
          <w:tcPr>
            <w:tcW w:w="1096" w:type="dxa"/>
            <w:tcBorders>
              <w:top w:val="nil"/>
              <w:left w:val="nil"/>
              <w:bottom w:val="nil"/>
              <w:right w:val="nil"/>
            </w:tcBorders>
            <w:shd w:val="clear" w:color="auto" w:fill="auto"/>
            <w:noWrap/>
            <w:hideMark/>
          </w:tcPr>
          <w:p w14:paraId="6FC4D8A5" w14:textId="06C1F63B"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35.</w:t>
            </w:r>
            <w:r w:rsidR="00AF4930">
              <w:rPr>
                <w:rFonts w:ascii="Times New Roman" w:eastAsia="Times New Roman" w:hAnsi="Times New Roman" w:cs="Times New Roman"/>
                <w:color w:val="000000"/>
                <w:sz w:val="24"/>
                <w:szCs w:val="24"/>
              </w:rPr>
              <w:t>7</w:t>
            </w:r>
            <w:r w:rsidRPr="00877DC2">
              <w:rPr>
                <w:rFonts w:ascii="Times New Roman" w:eastAsia="Times New Roman" w:hAnsi="Times New Roman" w:cs="Times New Roman"/>
                <w:color w:val="000000"/>
                <w:sz w:val="24"/>
                <w:szCs w:val="24"/>
              </w:rPr>
              <w:t>%</w:t>
            </w:r>
          </w:p>
        </w:tc>
        <w:tc>
          <w:tcPr>
            <w:tcW w:w="956" w:type="dxa"/>
            <w:tcBorders>
              <w:top w:val="nil"/>
              <w:left w:val="nil"/>
              <w:bottom w:val="nil"/>
              <w:right w:val="nil"/>
            </w:tcBorders>
            <w:shd w:val="clear" w:color="auto" w:fill="auto"/>
            <w:noWrap/>
            <w:hideMark/>
          </w:tcPr>
          <w:p w14:paraId="6DB83344"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10.1%</w:t>
            </w:r>
          </w:p>
        </w:tc>
        <w:tc>
          <w:tcPr>
            <w:tcW w:w="956" w:type="dxa"/>
            <w:tcBorders>
              <w:top w:val="nil"/>
              <w:left w:val="nil"/>
              <w:bottom w:val="nil"/>
              <w:right w:val="nil"/>
            </w:tcBorders>
            <w:shd w:val="clear" w:color="auto" w:fill="auto"/>
            <w:noWrap/>
            <w:hideMark/>
          </w:tcPr>
          <w:p w14:paraId="4E93A553" w14:textId="5A0FE756"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46.</w:t>
            </w:r>
            <w:r w:rsidR="00AF4930">
              <w:rPr>
                <w:rFonts w:ascii="Times New Roman" w:eastAsia="Times New Roman" w:hAnsi="Times New Roman" w:cs="Times New Roman"/>
                <w:color w:val="000000"/>
                <w:sz w:val="24"/>
                <w:szCs w:val="24"/>
              </w:rPr>
              <w:t>3</w:t>
            </w:r>
            <w:r w:rsidRPr="00877DC2">
              <w:rPr>
                <w:rFonts w:ascii="Times New Roman" w:eastAsia="Times New Roman" w:hAnsi="Times New Roman" w:cs="Times New Roman"/>
                <w:color w:val="000000"/>
                <w:sz w:val="24"/>
                <w:szCs w:val="24"/>
              </w:rPr>
              <w:t>%</w:t>
            </w:r>
          </w:p>
        </w:tc>
        <w:tc>
          <w:tcPr>
            <w:tcW w:w="222" w:type="dxa"/>
            <w:tcBorders>
              <w:top w:val="nil"/>
              <w:left w:val="nil"/>
              <w:bottom w:val="nil"/>
              <w:right w:val="nil"/>
            </w:tcBorders>
            <w:shd w:val="clear" w:color="auto" w:fill="auto"/>
            <w:noWrap/>
            <w:hideMark/>
          </w:tcPr>
          <w:p w14:paraId="113A311B"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p>
        </w:tc>
        <w:tc>
          <w:tcPr>
            <w:tcW w:w="1096" w:type="dxa"/>
            <w:tcBorders>
              <w:top w:val="nil"/>
              <w:left w:val="nil"/>
              <w:bottom w:val="nil"/>
              <w:right w:val="nil"/>
            </w:tcBorders>
            <w:shd w:val="clear" w:color="auto" w:fill="auto"/>
            <w:noWrap/>
            <w:hideMark/>
          </w:tcPr>
          <w:p w14:paraId="007A8505"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28.2%</w:t>
            </w:r>
          </w:p>
        </w:tc>
        <w:tc>
          <w:tcPr>
            <w:tcW w:w="883" w:type="dxa"/>
            <w:tcBorders>
              <w:top w:val="nil"/>
              <w:left w:val="nil"/>
              <w:bottom w:val="nil"/>
              <w:right w:val="nil"/>
            </w:tcBorders>
            <w:shd w:val="clear" w:color="auto" w:fill="auto"/>
            <w:noWrap/>
            <w:hideMark/>
          </w:tcPr>
          <w:p w14:paraId="774DCABC"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11.9%</w:t>
            </w:r>
          </w:p>
        </w:tc>
        <w:tc>
          <w:tcPr>
            <w:tcW w:w="883" w:type="dxa"/>
            <w:tcBorders>
              <w:top w:val="nil"/>
              <w:left w:val="nil"/>
              <w:bottom w:val="nil"/>
              <w:right w:val="nil"/>
            </w:tcBorders>
            <w:shd w:val="clear" w:color="auto" w:fill="auto"/>
            <w:noWrap/>
            <w:hideMark/>
          </w:tcPr>
          <w:p w14:paraId="7E6777CB"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55.5%</w:t>
            </w:r>
          </w:p>
        </w:tc>
        <w:tc>
          <w:tcPr>
            <w:tcW w:w="222" w:type="dxa"/>
            <w:tcBorders>
              <w:top w:val="nil"/>
              <w:left w:val="nil"/>
              <w:bottom w:val="nil"/>
              <w:right w:val="nil"/>
            </w:tcBorders>
            <w:shd w:val="clear" w:color="auto" w:fill="auto"/>
            <w:noWrap/>
            <w:hideMark/>
          </w:tcPr>
          <w:p w14:paraId="626BA8E5"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p>
        </w:tc>
        <w:tc>
          <w:tcPr>
            <w:tcW w:w="1096" w:type="dxa"/>
            <w:tcBorders>
              <w:top w:val="nil"/>
              <w:left w:val="nil"/>
              <w:bottom w:val="nil"/>
              <w:right w:val="nil"/>
            </w:tcBorders>
            <w:shd w:val="clear" w:color="auto" w:fill="auto"/>
            <w:noWrap/>
            <w:hideMark/>
          </w:tcPr>
          <w:p w14:paraId="573B46A9"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31.9%</w:t>
            </w:r>
          </w:p>
        </w:tc>
        <w:tc>
          <w:tcPr>
            <w:tcW w:w="956" w:type="dxa"/>
            <w:tcBorders>
              <w:top w:val="nil"/>
              <w:left w:val="nil"/>
              <w:bottom w:val="nil"/>
              <w:right w:val="nil"/>
            </w:tcBorders>
            <w:shd w:val="clear" w:color="auto" w:fill="auto"/>
            <w:noWrap/>
            <w:hideMark/>
          </w:tcPr>
          <w:p w14:paraId="1812A9B3"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9.6%</w:t>
            </w:r>
          </w:p>
        </w:tc>
        <w:tc>
          <w:tcPr>
            <w:tcW w:w="1035" w:type="dxa"/>
            <w:tcBorders>
              <w:top w:val="nil"/>
              <w:left w:val="nil"/>
              <w:bottom w:val="nil"/>
              <w:right w:val="nil"/>
            </w:tcBorders>
            <w:shd w:val="clear" w:color="auto" w:fill="auto"/>
            <w:noWrap/>
            <w:hideMark/>
          </w:tcPr>
          <w:p w14:paraId="1F04E583"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48.3%</w:t>
            </w:r>
          </w:p>
        </w:tc>
      </w:tr>
      <w:tr w:rsidR="000F7C00" w:rsidRPr="00F46D68" w14:paraId="3EBAB523" w14:textId="77777777" w:rsidTr="00211FA3">
        <w:trPr>
          <w:trHeight w:val="432"/>
          <w:jc w:val="center"/>
        </w:trPr>
        <w:tc>
          <w:tcPr>
            <w:tcW w:w="1486" w:type="dxa"/>
            <w:vMerge w:val="restart"/>
            <w:tcBorders>
              <w:top w:val="nil"/>
              <w:left w:val="nil"/>
              <w:right w:val="nil"/>
            </w:tcBorders>
            <w:shd w:val="clear" w:color="auto" w:fill="auto"/>
            <w:noWrap/>
            <w:vAlign w:val="center"/>
            <w:hideMark/>
          </w:tcPr>
          <w:p w14:paraId="16CD9AE9"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 Raise AA share to 15%</w:t>
            </w:r>
          </w:p>
        </w:tc>
        <w:tc>
          <w:tcPr>
            <w:tcW w:w="1096" w:type="dxa"/>
            <w:tcBorders>
              <w:top w:val="nil"/>
              <w:left w:val="nil"/>
              <w:bottom w:val="nil"/>
              <w:right w:val="nil"/>
            </w:tcBorders>
            <w:shd w:val="clear" w:color="auto" w:fill="auto"/>
            <w:noWrap/>
            <w:vAlign w:val="bottom"/>
            <w:hideMark/>
          </w:tcPr>
          <w:p w14:paraId="68BC8CE5" w14:textId="1256C11D"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18</w:t>
            </w:r>
            <w:r w:rsidR="00565E21">
              <w:rPr>
                <w:rFonts w:ascii="Times New Roman" w:eastAsia="Times New Roman" w:hAnsi="Times New Roman" w:cs="Times New Roman"/>
                <w:color w:val="000000"/>
                <w:sz w:val="24"/>
                <w:szCs w:val="24"/>
              </w:rPr>
              <w:t>.5</w:t>
            </w:r>
          </w:p>
        </w:tc>
        <w:tc>
          <w:tcPr>
            <w:tcW w:w="1075" w:type="dxa"/>
            <w:tcBorders>
              <w:top w:val="nil"/>
              <w:left w:val="nil"/>
              <w:bottom w:val="nil"/>
              <w:right w:val="nil"/>
            </w:tcBorders>
            <w:shd w:val="clear" w:color="auto" w:fill="auto"/>
            <w:noWrap/>
            <w:vAlign w:val="bottom"/>
            <w:hideMark/>
          </w:tcPr>
          <w:p w14:paraId="24762C7F" w14:textId="253B3BE5" w:rsidR="000F7C00" w:rsidRPr="00877DC2" w:rsidRDefault="00565E21" w:rsidP="00211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956" w:type="dxa"/>
            <w:tcBorders>
              <w:top w:val="nil"/>
              <w:left w:val="nil"/>
              <w:bottom w:val="nil"/>
              <w:right w:val="nil"/>
            </w:tcBorders>
            <w:shd w:val="clear" w:color="auto" w:fill="auto"/>
            <w:noWrap/>
            <w:vAlign w:val="bottom"/>
            <w:hideMark/>
          </w:tcPr>
          <w:p w14:paraId="6495CEEA" w14:textId="6C75892B" w:rsidR="000F7C00" w:rsidRPr="00877DC2" w:rsidRDefault="00565E21" w:rsidP="00211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33.1</w:t>
            </w:r>
          </w:p>
        </w:tc>
        <w:tc>
          <w:tcPr>
            <w:tcW w:w="222" w:type="dxa"/>
            <w:tcBorders>
              <w:top w:val="nil"/>
              <w:left w:val="nil"/>
              <w:bottom w:val="nil"/>
              <w:right w:val="nil"/>
            </w:tcBorders>
            <w:shd w:val="clear" w:color="auto" w:fill="auto"/>
            <w:noWrap/>
            <w:vAlign w:val="bottom"/>
            <w:hideMark/>
          </w:tcPr>
          <w:p w14:paraId="622FCB7C"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p>
        </w:tc>
        <w:tc>
          <w:tcPr>
            <w:tcW w:w="1096" w:type="dxa"/>
            <w:tcBorders>
              <w:top w:val="nil"/>
              <w:left w:val="nil"/>
              <w:bottom w:val="nil"/>
              <w:right w:val="nil"/>
            </w:tcBorders>
            <w:shd w:val="clear" w:color="auto" w:fill="auto"/>
            <w:noWrap/>
            <w:vAlign w:val="bottom"/>
            <w:hideMark/>
          </w:tcPr>
          <w:p w14:paraId="5E9E4423" w14:textId="741C33AC"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11.</w:t>
            </w:r>
            <w:r w:rsidR="00AF4930">
              <w:rPr>
                <w:rFonts w:ascii="Times New Roman" w:eastAsia="Times New Roman" w:hAnsi="Times New Roman" w:cs="Times New Roman"/>
                <w:color w:val="000000"/>
                <w:sz w:val="24"/>
                <w:szCs w:val="24"/>
              </w:rPr>
              <w:t>5</w:t>
            </w:r>
          </w:p>
        </w:tc>
        <w:tc>
          <w:tcPr>
            <w:tcW w:w="956" w:type="dxa"/>
            <w:tcBorders>
              <w:top w:val="nil"/>
              <w:left w:val="nil"/>
              <w:bottom w:val="nil"/>
              <w:right w:val="nil"/>
            </w:tcBorders>
            <w:shd w:val="clear" w:color="auto" w:fill="auto"/>
            <w:noWrap/>
            <w:vAlign w:val="bottom"/>
            <w:hideMark/>
          </w:tcPr>
          <w:p w14:paraId="78A8E8B9"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5.5</w:t>
            </w:r>
          </w:p>
        </w:tc>
        <w:tc>
          <w:tcPr>
            <w:tcW w:w="956" w:type="dxa"/>
            <w:tcBorders>
              <w:top w:val="nil"/>
              <w:left w:val="nil"/>
              <w:bottom w:val="nil"/>
              <w:right w:val="nil"/>
            </w:tcBorders>
            <w:shd w:val="clear" w:color="auto" w:fill="auto"/>
            <w:noWrap/>
            <w:vAlign w:val="bottom"/>
            <w:hideMark/>
          </w:tcPr>
          <w:p w14:paraId="02F504A3" w14:textId="78F753D4"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17.</w:t>
            </w:r>
            <w:r w:rsidR="00AF4930">
              <w:rPr>
                <w:rFonts w:ascii="Times New Roman" w:eastAsia="Times New Roman" w:hAnsi="Times New Roman" w:cs="Times New Roman"/>
                <w:color w:val="000000"/>
                <w:sz w:val="24"/>
                <w:szCs w:val="24"/>
              </w:rPr>
              <w:t>2</w:t>
            </w:r>
          </w:p>
        </w:tc>
        <w:tc>
          <w:tcPr>
            <w:tcW w:w="222" w:type="dxa"/>
            <w:tcBorders>
              <w:top w:val="nil"/>
              <w:left w:val="nil"/>
              <w:bottom w:val="nil"/>
              <w:right w:val="nil"/>
            </w:tcBorders>
            <w:shd w:val="clear" w:color="auto" w:fill="auto"/>
            <w:noWrap/>
            <w:vAlign w:val="bottom"/>
            <w:hideMark/>
          </w:tcPr>
          <w:p w14:paraId="0CBF8569"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p>
        </w:tc>
        <w:tc>
          <w:tcPr>
            <w:tcW w:w="1096" w:type="dxa"/>
            <w:tcBorders>
              <w:top w:val="nil"/>
              <w:left w:val="nil"/>
              <w:bottom w:val="nil"/>
              <w:right w:val="nil"/>
            </w:tcBorders>
            <w:shd w:val="clear" w:color="auto" w:fill="auto"/>
            <w:noWrap/>
            <w:vAlign w:val="bottom"/>
            <w:hideMark/>
          </w:tcPr>
          <w:p w14:paraId="2A6DB65C" w14:textId="4357E014"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7.0</w:t>
            </w:r>
          </w:p>
        </w:tc>
        <w:tc>
          <w:tcPr>
            <w:tcW w:w="883" w:type="dxa"/>
            <w:tcBorders>
              <w:top w:val="nil"/>
              <w:left w:val="nil"/>
              <w:bottom w:val="nil"/>
              <w:right w:val="nil"/>
            </w:tcBorders>
            <w:shd w:val="clear" w:color="auto" w:fill="auto"/>
            <w:noWrap/>
            <w:vAlign w:val="bottom"/>
            <w:hideMark/>
          </w:tcPr>
          <w:p w14:paraId="4DF9AE25" w14:textId="1D3C470B"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4.4</w:t>
            </w:r>
          </w:p>
        </w:tc>
        <w:tc>
          <w:tcPr>
            <w:tcW w:w="883" w:type="dxa"/>
            <w:tcBorders>
              <w:top w:val="nil"/>
              <w:left w:val="nil"/>
              <w:bottom w:val="nil"/>
              <w:right w:val="nil"/>
            </w:tcBorders>
            <w:shd w:val="clear" w:color="auto" w:fill="auto"/>
            <w:noWrap/>
            <w:vAlign w:val="bottom"/>
            <w:hideMark/>
          </w:tcPr>
          <w:p w14:paraId="7E9A9E03" w14:textId="2C7E3A6D"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15.8</w:t>
            </w:r>
          </w:p>
        </w:tc>
        <w:tc>
          <w:tcPr>
            <w:tcW w:w="222" w:type="dxa"/>
            <w:tcBorders>
              <w:top w:val="nil"/>
              <w:left w:val="nil"/>
              <w:bottom w:val="nil"/>
              <w:right w:val="nil"/>
            </w:tcBorders>
            <w:shd w:val="clear" w:color="auto" w:fill="auto"/>
            <w:noWrap/>
            <w:vAlign w:val="bottom"/>
            <w:hideMark/>
          </w:tcPr>
          <w:p w14:paraId="0CACD613"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p>
        </w:tc>
        <w:tc>
          <w:tcPr>
            <w:tcW w:w="1096" w:type="dxa"/>
            <w:tcBorders>
              <w:top w:val="nil"/>
              <w:left w:val="nil"/>
              <w:bottom w:val="nil"/>
              <w:right w:val="nil"/>
            </w:tcBorders>
            <w:shd w:val="clear" w:color="auto" w:fill="auto"/>
            <w:noWrap/>
            <w:vAlign w:val="bottom"/>
            <w:hideMark/>
          </w:tcPr>
          <w:p w14:paraId="5D9D497A" w14:textId="019441BE"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13.3</w:t>
            </w:r>
          </w:p>
        </w:tc>
        <w:tc>
          <w:tcPr>
            <w:tcW w:w="956" w:type="dxa"/>
            <w:tcBorders>
              <w:top w:val="nil"/>
              <w:left w:val="nil"/>
              <w:bottom w:val="nil"/>
              <w:right w:val="nil"/>
            </w:tcBorders>
            <w:shd w:val="clear" w:color="auto" w:fill="auto"/>
            <w:noWrap/>
            <w:vAlign w:val="bottom"/>
            <w:hideMark/>
          </w:tcPr>
          <w:p w14:paraId="7618BE76" w14:textId="3D5A911D"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7.</w:t>
            </w:r>
            <w:r w:rsidR="002307B2">
              <w:rPr>
                <w:rFonts w:ascii="Times New Roman" w:eastAsia="Times New Roman" w:hAnsi="Times New Roman" w:cs="Times New Roman"/>
                <w:color w:val="000000"/>
                <w:sz w:val="24"/>
                <w:szCs w:val="24"/>
              </w:rPr>
              <w:t>1</w:t>
            </w:r>
          </w:p>
        </w:tc>
        <w:tc>
          <w:tcPr>
            <w:tcW w:w="1035" w:type="dxa"/>
            <w:tcBorders>
              <w:top w:val="nil"/>
              <w:left w:val="nil"/>
              <w:bottom w:val="nil"/>
              <w:right w:val="nil"/>
            </w:tcBorders>
            <w:shd w:val="clear" w:color="auto" w:fill="auto"/>
            <w:noWrap/>
            <w:vAlign w:val="bottom"/>
            <w:hideMark/>
          </w:tcPr>
          <w:p w14:paraId="2E4F9959" w14:textId="43354560"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23.</w:t>
            </w:r>
            <w:r w:rsidR="00AF4930">
              <w:rPr>
                <w:rFonts w:ascii="Times New Roman" w:eastAsia="Times New Roman" w:hAnsi="Times New Roman" w:cs="Times New Roman"/>
                <w:color w:val="000000"/>
                <w:sz w:val="24"/>
                <w:szCs w:val="24"/>
              </w:rPr>
              <w:t>8</w:t>
            </w:r>
          </w:p>
        </w:tc>
      </w:tr>
      <w:tr w:rsidR="000F7C00" w:rsidRPr="00F46D68" w14:paraId="75ED3D59" w14:textId="77777777" w:rsidTr="00211FA3">
        <w:trPr>
          <w:trHeight w:val="294"/>
          <w:jc w:val="center"/>
        </w:trPr>
        <w:tc>
          <w:tcPr>
            <w:tcW w:w="1486" w:type="dxa"/>
            <w:vMerge/>
            <w:tcBorders>
              <w:left w:val="nil"/>
              <w:bottom w:val="nil"/>
              <w:right w:val="nil"/>
            </w:tcBorders>
            <w:shd w:val="clear" w:color="auto" w:fill="auto"/>
            <w:noWrap/>
            <w:vAlign w:val="bottom"/>
            <w:hideMark/>
          </w:tcPr>
          <w:p w14:paraId="1BC3D656" w14:textId="77777777" w:rsidR="000F7C00" w:rsidRPr="00877DC2" w:rsidRDefault="000F7C00" w:rsidP="00211FA3">
            <w:pPr>
              <w:spacing w:after="0" w:line="240" w:lineRule="auto"/>
              <w:jc w:val="right"/>
              <w:rPr>
                <w:rFonts w:ascii="Times New Roman" w:eastAsia="Times New Roman" w:hAnsi="Times New Roman" w:cs="Times New Roman"/>
                <w:color w:val="000000"/>
                <w:sz w:val="24"/>
                <w:szCs w:val="24"/>
              </w:rPr>
            </w:pPr>
          </w:p>
        </w:tc>
        <w:tc>
          <w:tcPr>
            <w:tcW w:w="1096" w:type="dxa"/>
            <w:tcBorders>
              <w:top w:val="nil"/>
              <w:left w:val="nil"/>
              <w:bottom w:val="nil"/>
              <w:right w:val="nil"/>
            </w:tcBorders>
            <w:shd w:val="clear" w:color="auto" w:fill="auto"/>
            <w:noWrap/>
            <w:hideMark/>
          </w:tcPr>
          <w:p w14:paraId="430253D2" w14:textId="6DB34F19"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28.</w:t>
            </w:r>
            <w:r w:rsidR="00565E21">
              <w:rPr>
                <w:rFonts w:ascii="Times New Roman" w:eastAsia="Times New Roman" w:hAnsi="Times New Roman" w:cs="Times New Roman"/>
                <w:color w:val="000000"/>
                <w:sz w:val="24"/>
                <w:szCs w:val="24"/>
              </w:rPr>
              <w:t>2</w:t>
            </w:r>
            <w:r w:rsidRPr="00877DC2">
              <w:rPr>
                <w:rFonts w:ascii="Times New Roman" w:eastAsia="Times New Roman" w:hAnsi="Times New Roman" w:cs="Times New Roman"/>
                <w:color w:val="000000"/>
                <w:sz w:val="24"/>
                <w:szCs w:val="24"/>
              </w:rPr>
              <w:t>%</w:t>
            </w:r>
          </w:p>
        </w:tc>
        <w:tc>
          <w:tcPr>
            <w:tcW w:w="1075" w:type="dxa"/>
            <w:tcBorders>
              <w:top w:val="nil"/>
              <w:left w:val="nil"/>
              <w:bottom w:val="nil"/>
              <w:right w:val="nil"/>
            </w:tcBorders>
            <w:shd w:val="clear" w:color="auto" w:fill="auto"/>
            <w:noWrap/>
            <w:hideMark/>
          </w:tcPr>
          <w:p w14:paraId="4B566A11" w14:textId="12EE64BA"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15.</w:t>
            </w:r>
            <w:r w:rsidR="00565E21">
              <w:rPr>
                <w:rFonts w:ascii="Times New Roman" w:eastAsia="Times New Roman" w:hAnsi="Times New Roman" w:cs="Times New Roman"/>
                <w:color w:val="000000"/>
                <w:sz w:val="24"/>
                <w:szCs w:val="24"/>
              </w:rPr>
              <w:t>2</w:t>
            </w:r>
            <w:r w:rsidRPr="00877DC2">
              <w:rPr>
                <w:rFonts w:ascii="Times New Roman" w:eastAsia="Times New Roman" w:hAnsi="Times New Roman" w:cs="Times New Roman"/>
                <w:color w:val="000000"/>
                <w:sz w:val="24"/>
                <w:szCs w:val="24"/>
              </w:rPr>
              <w:t>%</w:t>
            </w:r>
          </w:p>
        </w:tc>
        <w:tc>
          <w:tcPr>
            <w:tcW w:w="956" w:type="dxa"/>
            <w:tcBorders>
              <w:top w:val="nil"/>
              <w:left w:val="nil"/>
              <w:bottom w:val="nil"/>
              <w:right w:val="nil"/>
            </w:tcBorders>
            <w:shd w:val="clear" w:color="auto" w:fill="auto"/>
            <w:noWrap/>
            <w:hideMark/>
          </w:tcPr>
          <w:p w14:paraId="4D2FF2A7" w14:textId="5E9AE3BF"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50.</w:t>
            </w:r>
            <w:r w:rsidR="00565E21">
              <w:rPr>
                <w:rFonts w:ascii="Times New Roman" w:eastAsia="Times New Roman" w:hAnsi="Times New Roman" w:cs="Times New Roman"/>
                <w:color w:val="000000"/>
                <w:sz w:val="24"/>
                <w:szCs w:val="24"/>
              </w:rPr>
              <w:t>3</w:t>
            </w:r>
            <w:r w:rsidRPr="00877DC2">
              <w:rPr>
                <w:rFonts w:ascii="Times New Roman" w:eastAsia="Times New Roman" w:hAnsi="Times New Roman" w:cs="Times New Roman"/>
                <w:color w:val="000000"/>
                <w:sz w:val="24"/>
                <w:szCs w:val="24"/>
              </w:rPr>
              <w:t>%</w:t>
            </w:r>
          </w:p>
        </w:tc>
        <w:tc>
          <w:tcPr>
            <w:tcW w:w="222" w:type="dxa"/>
            <w:tcBorders>
              <w:top w:val="nil"/>
              <w:left w:val="nil"/>
              <w:bottom w:val="nil"/>
              <w:right w:val="nil"/>
            </w:tcBorders>
            <w:shd w:val="clear" w:color="auto" w:fill="auto"/>
            <w:noWrap/>
            <w:hideMark/>
          </w:tcPr>
          <w:p w14:paraId="437CE0C3"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p>
        </w:tc>
        <w:tc>
          <w:tcPr>
            <w:tcW w:w="1096" w:type="dxa"/>
            <w:tcBorders>
              <w:top w:val="nil"/>
              <w:left w:val="nil"/>
              <w:bottom w:val="nil"/>
              <w:right w:val="nil"/>
            </w:tcBorders>
            <w:shd w:val="clear" w:color="auto" w:fill="auto"/>
            <w:noWrap/>
            <w:hideMark/>
          </w:tcPr>
          <w:p w14:paraId="28C7687E" w14:textId="77200EB8"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3</w:t>
            </w:r>
            <w:r w:rsidR="00AF4930">
              <w:rPr>
                <w:rFonts w:ascii="Times New Roman" w:eastAsia="Times New Roman" w:hAnsi="Times New Roman" w:cs="Times New Roman"/>
                <w:color w:val="000000"/>
                <w:sz w:val="24"/>
                <w:szCs w:val="24"/>
              </w:rPr>
              <w:t>1.0</w:t>
            </w:r>
            <w:r w:rsidRPr="00877DC2">
              <w:rPr>
                <w:rFonts w:ascii="Times New Roman" w:eastAsia="Times New Roman" w:hAnsi="Times New Roman" w:cs="Times New Roman"/>
                <w:color w:val="000000"/>
                <w:sz w:val="24"/>
                <w:szCs w:val="24"/>
              </w:rPr>
              <w:t>%</w:t>
            </w:r>
          </w:p>
        </w:tc>
        <w:tc>
          <w:tcPr>
            <w:tcW w:w="956" w:type="dxa"/>
            <w:tcBorders>
              <w:top w:val="nil"/>
              <w:left w:val="nil"/>
              <w:bottom w:val="nil"/>
              <w:right w:val="nil"/>
            </w:tcBorders>
            <w:shd w:val="clear" w:color="auto" w:fill="auto"/>
            <w:noWrap/>
            <w:hideMark/>
          </w:tcPr>
          <w:p w14:paraId="0500607A"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14.8%</w:t>
            </w:r>
          </w:p>
        </w:tc>
        <w:tc>
          <w:tcPr>
            <w:tcW w:w="956" w:type="dxa"/>
            <w:tcBorders>
              <w:top w:val="nil"/>
              <w:left w:val="nil"/>
              <w:bottom w:val="nil"/>
              <w:right w:val="nil"/>
            </w:tcBorders>
            <w:shd w:val="clear" w:color="auto" w:fill="auto"/>
            <w:noWrap/>
            <w:hideMark/>
          </w:tcPr>
          <w:p w14:paraId="7A81CC5C" w14:textId="23E19E1C"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46.</w:t>
            </w:r>
            <w:r w:rsidR="00AF4930">
              <w:rPr>
                <w:rFonts w:ascii="Times New Roman" w:eastAsia="Times New Roman" w:hAnsi="Times New Roman" w:cs="Times New Roman"/>
                <w:color w:val="000000"/>
                <w:sz w:val="24"/>
                <w:szCs w:val="24"/>
              </w:rPr>
              <w:t>3</w:t>
            </w:r>
            <w:r w:rsidRPr="00877DC2">
              <w:rPr>
                <w:rFonts w:ascii="Times New Roman" w:eastAsia="Times New Roman" w:hAnsi="Times New Roman" w:cs="Times New Roman"/>
                <w:color w:val="000000"/>
                <w:sz w:val="24"/>
                <w:szCs w:val="24"/>
              </w:rPr>
              <w:t>%</w:t>
            </w:r>
          </w:p>
        </w:tc>
        <w:tc>
          <w:tcPr>
            <w:tcW w:w="222" w:type="dxa"/>
            <w:tcBorders>
              <w:top w:val="nil"/>
              <w:left w:val="nil"/>
              <w:bottom w:val="nil"/>
              <w:right w:val="nil"/>
            </w:tcBorders>
            <w:shd w:val="clear" w:color="auto" w:fill="auto"/>
            <w:noWrap/>
            <w:hideMark/>
          </w:tcPr>
          <w:p w14:paraId="6089CD6C"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p>
        </w:tc>
        <w:tc>
          <w:tcPr>
            <w:tcW w:w="1096" w:type="dxa"/>
            <w:tcBorders>
              <w:top w:val="nil"/>
              <w:left w:val="nil"/>
              <w:bottom w:val="nil"/>
              <w:right w:val="nil"/>
            </w:tcBorders>
            <w:shd w:val="clear" w:color="auto" w:fill="auto"/>
            <w:noWrap/>
            <w:hideMark/>
          </w:tcPr>
          <w:p w14:paraId="219A8692" w14:textId="217B55FD"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24.</w:t>
            </w:r>
            <w:r w:rsidR="00AF4930">
              <w:rPr>
                <w:rFonts w:ascii="Times New Roman" w:eastAsia="Times New Roman" w:hAnsi="Times New Roman" w:cs="Times New Roman"/>
                <w:color w:val="000000"/>
                <w:sz w:val="24"/>
                <w:szCs w:val="24"/>
              </w:rPr>
              <w:t>5</w:t>
            </w:r>
            <w:r w:rsidRPr="00877DC2">
              <w:rPr>
                <w:rFonts w:ascii="Times New Roman" w:eastAsia="Times New Roman" w:hAnsi="Times New Roman" w:cs="Times New Roman"/>
                <w:color w:val="000000"/>
                <w:sz w:val="24"/>
                <w:szCs w:val="24"/>
              </w:rPr>
              <w:t>%</w:t>
            </w:r>
          </w:p>
        </w:tc>
        <w:tc>
          <w:tcPr>
            <w:tcW w:w="883" w:type="dxa"/>
            <w:tcBorders>
              <w:top w:val="nil"/>
              <w:left w:val="nil"/>
              <w:bottom w:val="nil"/>
              <w:right w:val="nil"/>
            </w:tcBorders>
            <w:shd w:val="clear" w:color="auto" w:fill="auto"/>
            <w:noWrap/>
            <w:hideMark/>
          </w:tcPr>
          <w:p w14:paraId="40295CD1" w14:textId="139E9F22"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15.</w:t>
            </w:r>
            <w:r w:rsidR="00AF4930">
              <w:rPr>
                <w:rFonts w:ascii="Times New Roman" w:eastAsia="Times New Roman" w:hAnsi="Times New Roman" w:cs="Times New Roman"/>
                <w:color w:val="000000"/>
                <w:sz w:val="24"/>
                <w:szCs w:val="24"/>
              </w:rPr>
              <w:t>6</w:t>
            </w:r>
            <w:r w:rsidRPr="00877DC2">
              <w:rPr>
                <w:rFonts w:ascii="Times New Roman" w:eastAsia="Times New Roman" w:hAnsi="Times New Roman" w:cs="Times New Roman"/>
                <w:color w:val="000000"/>
                <w:sz w:val="24"/>
                <w:szCs w:val="24"/>
              </w:rPr>
              <w:t>%</w:t>
            </w:r>
          </w:p>
        </w:tc>
        <w:tc>
          <w:tcPr>
            <w:tcW w:w="883" w:type="dxa"/>
            <w:tcBorders>
              <w:top w:val="nil"/>
              <w:left w:val="nil"/>
              <w:bottom w:val="nil"/>
              <w:right w:val="nil"/>
            </w:tcBorders>
            <w:shd w:val="clear" w:color="auto" w:fill="auto"/>
            <w:noWrap/>
            <w:hideMark/>
          </w:tcPr>
          <w:p w14:paraId="0DDA863C"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55.5%</w:t>
            </w:r>
          </w:p>
        </w:tc>
        <w:tc>
          <w:tcPr>
            <w:tcW w:w="222" w:type="dxa"/>
            <w:tcBorders>
              <w:top w:val="nil"/>
              <w:left w:val="nil"/>
              <w:bottom w:val="nil"/>
              <w:right w:val="nil"/>
            </w:tcBorders>
            <w:shd w:val="clear" w:color="auto" w:fill="auto"/>
            <w:noWrap/>
            <w:hideMark/>
          </w:tcPr>
          <w:p w14:paraId="135C6A24"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p>
        </w:tc>
        <w:tc>
          <w:tcPr>
            <w:tcW w:w="1096" w:type="dxa"/>
            <w:tcBorders>
              <w:top w:val="nil"/>
              <w:left w:val="nil"/>
              <w:bottom w:val="nil"/>
              <w:right w:val="nil"/>
            </w:tcBorders>
            <w:shd w:val="clear" w:color="auto" w:fill="auto"/>
            <w:noWrap/>
            <w:hideMark/>
          </w:tcPr>
          <w:p w14:paraId="5B609F59" w14:textId="567DD196"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27.</w:t>
            </w:r>
            <w:r w:rsidR="00430467">
              <w:rPr>
                <w:rFonts w:ascii="Times New Roman" w:eastAsia="Times New Roman" w:hAnsi="Times New Roman" w:cs="Times New Roman"/>
                <w:color w:val="000000"/>
                <w:sz w:val="24"/>
                <w:szCs w:val="24"/>
              </w:rPr>
              <w:t>0</w:t>
            </w:r>
            <w:r w:rsidRPr="00877DC2">
              <w:rPr>
                <w:rFonts w:ascii="Times New Roman" w:eastAsia="Times New Roman" w:hAnsi="Times New Roman" w:cs="Times New Roman"/>
                <w:color w:val="000000"/>
                <w:sz w:val="24"/>
                <w:szCs w:val="24"/>
              </w:rPr>
              <w:t>%</w:t>
            </w:r>
          </w:p>
        </w:tc>
        <w:tc>
          <w:tcPr>
            <w:tcW w:w="956" w:type="dxa"/>
            <w:tcBorders>
              <w:top w:val="nil"/>
              <w:left w:val="nil"/>
              <w:bottom w:val="nil"/>
              <w:right w:val="nil"/>
            </w:tcBorders>
            <w:shd w:val="clear" w:color="auto" w:fill="auto"/>
            <w:noWrap/>
            <w:hideMark/>
          </w:tcPr>
          <w:p w14:paraId="24CE02FC" w14:textId="33DE4F58"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14.</w:t>
            </w:r>
            <w:r w:rsidR="00430467">
              <w:rPr>
                <w:rFonts w:ascii="Times New Roman" w:eastAsia="Times New Roman" w:hAnsi="Times New Roman" w:cs="Times New Roman"/>
                <w:color w:val="000000"/>
                <w:sz w:val="24"/>
                <w:szCs w:val="24"/>
              </w:rPr>
              <w:t>4</w:t>
            </w:r>
            <w:r w:rsidRPr="00877DC2">
              <w:rPr>
                <w:rFonts w:ascii="Times New Roman" w:eastAsia="Times New Roman" w:hAnsi="Times New Roman" w:cs="Times New Roman"/>
                <w:color w:val="000000"/>
                <w:sz w:val="24"/>
                <w:szCs w:val="24"/>
              </w:rPr>
              <w:t>%</w:t>
            </w:r>
          </w:p>
        </w:tc>
        <w:tc>
          <w:tcPr>
            <w:tcW w:w="1035" w:type="dxa"/>
            <w:tcBorders>
              <w:top w:val="nil"/>
              <w:left w:val="nil"/>
              <w:bottom w:val="nil"/>
              <w:right w:val="nil"/>
            </w:tcBorders>
            <w:shd w:val="clear" w:color="auto" w:fill="auto"/>
            <w:noWrap/>
            <w:hideMark/>
          </w:tcPr>
          <w:p w14:paraId="0E55355F" w14:textId="7296B35D"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48.</w:t>
            </w:r>
            <w:r w:rsidR="00430467">
              <w:rPr>
                <w:rFonts w:ascii="Times New Roman" w:eastAsia="Times New Roman" w:hAnsi="Times New Roman" w:cs="Times New Roman"/>
                <w:color w:val="000000"/>
                <w:sz w:val="24"/>
                <w:szCs w:val="24"/>
              </w:rPr>
              <w:t>4</w:t>
            </w:r>
            <w:r w:rsidRPr="00877DC2">
              <w:rPr>
                <w:rFonts w:ascii="Times New Roman" w:eastAsia="Times New Roman" w:hAnsi="Times New Roman" w:cs="Times New Roman"/>
                <w:color w:val="000000"/>
                <w:sz w:val="24"/>
                <w:szCs w:val="24"/>
              </w:rPr>
              <w:t>%</w:t>
            </w:r>
          </w:p>
        </w:tc>
      </w:tr>
      <w:tr w:rsidR="000F7C00" w:rsidRPr="00F46D68" w14:paraId="497167A9" w14:textId="77777777" w:rsidTr="00211FA3">
        <w:trPr>
          <w:trHeight w:val="576"/>
          <w:jc w:val="center"/>
        </w:trPr>
        <w:tc>
          <w:tcPr>
            <w:tcW w:w="1486" w:type="dxa"/>
            <w:vMerge w:val="restart"/>
            <w:tcBorders>
              <w:top w:val="nil"/>
              <w:left w:val="nil"/>
              <w:bottom w:val="nil"/>
              <w:right w:val="nil"/>
            </w:tcBorders>
            <w:shd w:val="clear" w:color="auto" w:fill="auto"/>
            <w:noWrap/>
            <w:vAlign w:val="center"/>
            <w:hideMark/>
          </w:tcPr>
          <w:p w14:paraId="2957763F"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20% AA share, 60% BA share</w:t>
            </w:r>
          </w:p>
        </w:tc>
        <w:tc>
          <w:tcPr>
            <w:tcW w:w="1096" w:type="dxa"/>
            <w:tcBorders>
              <w:top w:val="nil"/>
              <w:left w:val="nil"/>
              <w:bottom w:val="nil"/>
              <w:right w:val="nil"/>
            </w:tcBorders>
            <w:shd w:val="clear" w:color="auto" w:fill="auto"/>
            <w:noWrap/>
            <w:vAlign w:val="bottom"/>
            <w:hideMark/>
          </w:tcPr>
          <w:p w14:paraId="1B600C8E" w14:textId="1A6BF32B" w:rsidR="000F7C00" w:rsidRPr="00877DC2" w:rsidRDefault="00502ABA" w:rsidP="00211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c>
          <w:tcPr>
            <w:tcW w:w="1075" w:type="dxa"/>
            <w:tcBorders>
              <w:top w:val="nil"/>
              <w:left w:val="nil"/>
              <w:bottom w:val="nil"/>
              <w:right w:val="nil"/>
            </w:tcBorders>
            <w:shd w:val="clear" w:color="auto" w:fill="auto"/>
            <w:noWrap/>
            <w:vAlign w:val="bottom"/>
            <w:hideMark/>
          </w:tcPr>
          <w:p w14:paraId="4ECE69DE" w14:textId="39A4A1D3" w:rsidR="000F7C00" w:rsidRPr="00877DC2" w:rsidRDefault="00565E21" w:rsidP="00211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w:t>
            </w:r>
          </w:p>
        </w:tc>
        <w:tc>
          <w:tcPr>
            <w:tcW w:w="956" w:type="dxa"/>
            <w:tcBorders>
              <w:top w:val="nil"/>
              <w:left w:val="nil"/>
              <w:bottom w:val="nil"/>
              <w:right w:val="nil"/>
            </w:tcBorders>
            <w:shd w:val="clear" w:color="auto" w:fill="auto"/>
            <w:noWrap/>
            <w:vAlign w:val="bottom"/>
            <w:hideMark/>
          </w:tcPr>
          <w:p w14:paraId="5FC05206"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39.6</w:t>
            </w:r>
          </w:p>
        </w:tc>
        <w:tc>
          <w:tcPr>
            <w:tcW w:w="222" w:type="dxa"/>
            <w:tcBorders>
              <w:top w:val="nil"/>
              <w:left w:val="nil"/>
              <w:bottom w:val="nil"/>
              <w:right w:val="nil"/>
            </w:tcBorders>
            <w:shd w:val="clear" w:color="auto" w:fill="auto"/>
            <w:noWrap/>
            <w:vAlign w:val="bottom"/>
            <w:hideMark/>
          </w:tcPr>
          <w:p w14:paraId="70178AFD"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p>
        </w:tc>
        <w:tc>
          <w:tcPr>
            <w:tcW w:w="1096" w:type="dxa"/>
            <w:tcBorders>
              <w:top w:val="nil"/>
              <w:left w:val="nil"/>
              <w:bottom w:val="nil"/>
              <w:right w:val="nil"/>
            </w:tcBorders>
            <w:shd w:val="clear" w:color="auto" w:fill="auto"/>
            <w:noWrap/>
            <w:vAlign w:val="bottom"/>
            <w:hideMark/>
          </w:tcPr>
          <w:p w14:paraId="523C11CE" w14:textId="3A5C802E"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5.</w:t>
            </w:r>
            <w:r w:rsidR="00502ABA">
              <w:rPr>
                <w:rFonts w:ascii="Times New Roman" w:eastAsia="Times New Roman" w:hAnsi="Times New Roman" w:cs="Times New Roman"/>
                <w:color w:val="000000"/>
                <w:sz w:val="24"/>
                <w:szCs w:val="24"/>
              </w:rPr>
              <w:t>4</w:t>
            </w:r>
          </w:p>
        </w:tc>
        <w:tc>
          <w:tcPr>
            <w:tcW w:w="956" w:type="dxa"/>
            <w:tcBorders>
              <w:top w:val="nil"/>
              <w:left w:val="nil"/>
              <w:bottom w:val="nil"/>
              <w:right w:val="nil"/>
            </w:tcBorders>
            <w:shd w:val="clear" w:color="auto" w:fill="auto"/>
            <w:noWrap/>
            <w:vAlign w:val="bottom"/>
            <w:hideMark/>
          </w:tcPr>
          <w:p w14:paraId="6583FC74"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7.6</w:t>
            </w:r>
          </w:p>
        </w:tc>
        <w:tc>
          <w:tcPr>
            <w:tcW w:w="956" w:type="dxa"/>
            <w:tcBorders>
              <w:top w:val="nil"/>
              <w:left w:val="nil"/>
              <w:bottom w:val="nil"/>
              <w:right w:val="nil"/>
            </w:tcBorders>
            <w:shd w:val="clear" w:color="auto" w:fill="auto"/>
            <w:noWrap/>
            <w:vAlign w:val="bottom"/>
            <w:hideMark/>
          </w:tcPr>
          <w:p w14:paraId="1378C835" w14:textId="0002F6C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21.</w:t>
            </w:r>
            <w:r w:rsidR="00AF4930">
              <w:rPr>
                <w:rFonts w:ascii="Times New Roman" w:eastAsia="Times New Roman" w:hAnsi="Times New Roman" w:cs="Times New Roman"/>
                <w:color w:val="000000"/>
                <w:sz w:val="24"/>
                <w:szCs w:val="24"/>
              </w:rPr>
              <w:t>3</w:t>
            </w:r>
          </w:p>
        </w:tc>
        <w:tc>
          <w:tcPr>
            <w:tcW w:w="222" w:type="dxa"/>
            <w:tcBorders>
              <w:top w:val="nil"/>
              <w:left w:val="nil"/>
              <w:bottom w:val="nil"/>
              <w:right w:val="nil"/>
            </w:tcBorders>
            <w:shd w:val="clear" w:color="auto" w:fill="auto"/>
            <w:noWrap/>
            <w:vAlign w:val="bottom"/>
            <w:hideMark/>
          </w:tcPr>
          <w:p w14:paraId="1BA55978"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p>
        </w:tc>
        <w:tc>
          <w:tcPr>
            <w:tcW w:w="1096" w:type="dxa"/>
            <w:tcBorders>
              <w:top w:val="nil"/>
              <w:left w:val="nil"/>
              <w:bottom w:val="nil"/>
              <w:right w:val="nil"/>
            </w:tcBorders>
            <w:shd w:val="clear" w:color="auto" w:fill="auto"/>
            <w:noWrap/>
            <w:vAlign w:val="bottom"/>
            <w:hideMark/>
          </w:tcPr>
          <w:p w14:paraId="31661D9F" w14:textId="09AE2A19"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3.</w:t>
            </w:r>
            <w:r w:rsidR="00430467">
              <w:rPr>
                <w:rFonts w:ascii="Times New Roman" w:eastAsia="Times New Roman" w:hAnsi="Times New Roman" w:cs="Times New Roman"/>
                <w:color w:val="000000"/>
                <w:sz w:val="24"/>
                <w:szCs w:val="24"/>
              </w:rPr>
              <w:t>3</w:t>
            </w:r>
          </w:p>
        </w:tc>
        <w:tc>
          <w:tcPr>
            <w:tcW w:w="883" w:type="dxa"/>
            <w:tcBorders>
              <w:top w:val="nil"/>
              <w:left w:val="nil"/>
              <w:bottom w:val="nil"/>
              <w:right w:val="nil"/>
            </w:tcBorders>
            <w:shd w:val="clear" w:color="auto" w:fill="auto"/>
            <w:noWrap/>
            <w:vAlign w:val="bottom"/>
            <w:hideMark/>
          </w:tcPr>
          <w:p w14:paraId="358B2C1D" w14:textId="04D8D36B"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5.</w:t>
            </w:r>
            <w:r w:rsidR="00D00E15">
              <w:rPr>
                <w:rFonts w:ascii="Times New Roman" w:eastAsia="Times New Roman" w:hAnsi="Times New Roman" w:cs="Times New Roman"/>
                <w:color w:val="000000"/>
                <w:sz w:val="24"/>
                <w:szCs w:val="24"/>
              </w:rPr>
              <w:t>7</w:t>
            </w:r>
          </w:p>
        </w:tc>
        <w:tc>
          <w:tcPr>
            <w:tcW w:w="883" w:type="dxa"/>
            <w:tcBorders>
              <w:top w:val="nil"/>
              <w:left w:val="nil"/>
              <w:bottom w:val="nil"/>
              <w:right w:val="nil"/>
            </w:tcBorders>
            <w:shd w:val="clear" w:color="auto" w:fill="auto"/>
            <w:noWrap/>
            <w:vAlign w:val="bottom"/>
            <w:hideMark/>
          </w:tcPr>
          <w:p w14:paraId="372815B9" w14:textId="0D3355C3"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18.</w:t>
            </w:r>
            <w:r w:rsidR="00AF4930">
              <w:rPr>
                <w:rFonts w:ascii="Times New Roman" w:eastAsia="Times New Roman" w:hAnsi="Times New Roman" w:cs="Times New Roman"/>
                <w:color w:val="000000"/>
                <w:sz w:val="24"/>
                <w:szCs w:val="24"/>
              </w:rPr>
              <w:t>3</w:t>
            </w:r>
          </w:p>
        </w:tc>
        <w:tc>
          <w:tcPr>
            <w:tcW w:w="222" w:type="dxa"/>
            <w:tcBorders>
              <w:top w:val="nil"/>
              <w:left w:val="nil"/>
              <w:bottom w:val="nil"/>
              <w:right w:val="nil"/>
            </w:tcBorders>
            <w:shd w:val="clear" w:color="auto" w:fill="auto"/>
            <w:noWrap/>
            <w:vAlign w:val="bottom"/>
            <w:hideMark/>
          </w:tcPr>
          <w:p w14:paraId="17D63519"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p>
        </w:tc>
        <w:tc>
          <w:tcPr>
            <w:tcW w:w="1096" w:type="dxa"/>
            <w:tcBorders>
              <w:top w:val="nil"/>
              <w:left w:val="nil"/>
              <w:bottom w:val="nil"/>
              <w:right w:val="nil"/>
            </w:tcBorders>
            <w:shd w:val="clear" w:color="auto" w:fill="auto"/>
            <w:noWrap/>
            <w:vAlign w:val="bottom"/>
            <w:hideMark/>
          </w:tcPr>
          <w:p w14:paraId="0FBFC039"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5.4</w:t>
            </w:r>
          </w:p>
        </w:tc>
        <w:tc>
          <w:tcPr>
            <w:tcW w:w="956" w:type="dxa"/>
            <w:tcBorders>
              <w:top w:val="nil"/>
              <w:left w:val="nil"/>
              <w:bottom w:val="nil"/>
              <w:right w:val="nil"/>
            </w:tcBorders>
            <w:shd w:val="clear" w:color="auto" w:fill="auto"/>
            <w:noWrap/>
            <w:vAlign w:val="bottom"/>
            <w:hideMark/>
          </w:tcPr>
          <w:p w14:paraId="4A3E10C4" w14:textId="056DC2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9.</w:t>
            </w:r>
            <w:r w:rsidR="00AF4930">
              <w:rPr>
                <w:rFonts w:ascii="Times New Roman" w:eastAsia="Times New Roman" w:hAnsi="Times New Roman" w:cs="Times New Roman"/>
                <w:color w:val="000000"/>
                <w:sz w:val="24"/>
                <w:szCs w:val="24"/>
              </w:rPr>
              <w:t>8</w:t>
            </w:r>
          </w:p>
        </w:tc>
        <w:tc>
          <w:tcPr>
            <w:tcW w:w="1035" w:type="dxa"/>
            <w:tcBorders>
              <w:top w:val="nil"/>
              <w:left w:val="nil"/>
              <w:bottom w:val="nil"/>
              <w:right w:val="nil"/>
            </w:tcBorders>
            <w:shd w:val="clear" w:color="auto" w:fill="auto"/>
            <w:noWrap/>
            <w:vAlign w:val="bottom"/>
            <w:hideMark/>
          </w:tcPr>
          <w:p w14:paraId="4A1602AC" w14:textId="66EDD66E"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2</w:t>
            </w:r>
            <w:r w:rsidR="00430467">
              <w:rPr>
                <w:rFonts w:ascii="Times New Roman" w:eastAsia="Times New Roman" w:hAnsi="Times New Roman" w:cs="Times New Roman"/>
                <w:color w:val="000000"/>
                <w:sz w:val="24"/>
                <w:szCs w:val="24"/>
              </w:rPr>
              <w:t>9</w:t>
            </w:r>
            <w:r w:rsidRPr="00877DC2">
              <w:rPr>
                <w:rFonts w:ascii="Times New Roman" w:eastAsia="Times New Roman" w:hAnsi="Times New Roman" w:cs="Times New Roman"/>
                <w:color w:val="000000"/>
                <w:sz w:val="24"/>
                <w:szCs w:val="24"/>
              </w:rPr>
              <w:t>.</w:t>
            </w:r>
            <w:r w:rsidR="00430467">
              <w:rPr>
                <w:rFonts w:ascii="Times New Roman" w:eastAsia="Times New Roman" w:hAnsi="Times New Roman" w:cs="Times New Roman"/>
                <w:color w:val="000000"/>
                <w:sz w:val="24"/>
                <w:szCs w:val="24"/>
              </w:rPr>
              <w:t>0</w:t>
            </w:r>
          </w:p>
        </w:tc>
      </w:tr>
      <w:tr w:rsidR="000F7C00" w:rsidRPr="00F46D68" w14:paraId="6270D92E" w14:textId="77777777" w:rsidTr="00211FA3">
        <w:trPr>
          <w:trHeight w:val="294"/>
          <w:jc w:val="center"/>
        </w:trPr>
        <w:tc>
          <w:tcPr>
            <w:tcW w:w="1486" w:type="dxa"/>
            <w:vMerge/>
            <w:tcBorders>
              <w:top w:val="nil"/>
              <w:left w:val="nil"/>
              <w:bottom w:val="nil"/>
              <w:right w:val="nil"/>
            </w:tcBorders>
            <w:vAlign w:val="center"/>
            <w:hideMark/>
          </w:tcPr>
          <w:p w14:paraId="1EA29CCE" w14:textId="77777777" w:rsidR="000F7C00" w:rsidRPr="00877DC2" w:rsidRDefault="000F7C00" w:rsidP="00211FA3">
            <w:pPr>
              <w:spacing w:after="0" w:line="240" w:lineRule="auto"/>
              <w:rPr>
                <w:rFonts w:ascii="Times New Roman" w:eastAsia="Times New Roman" w:hAnsi="Times New Roman" w:cs="Times New Roman"/>
                <w:color w:val="000000"/>
                <w:sz w:val="24"/>
                <w:szCs w:val="24"/>
              </w:rPr>
            </w:pPr>
          </w:p>
        </w:tc>
        <w:tc>
          <w:tcPr>
            <w:tcW w:w="1096" w:type="dxa"/>
            <w:tcBorders>
              <w:top w:val="nil"/>
              <w:left w:val="nil"/>
              <w:bottom w:val="nil"/>
              <w:right w:val="nil"/>
            </w:tcBorders>
            <w:shd w:val="clear" w:color="auto" w:fill="auto"/>
            <w:noWrap/>
            <w:hideMark/>
          </w:tcPr>
          <w:p w14:paraId="5F665F94" w14:textId="4D481500"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13.</w:t>
            </w:r>
            <w:r w:rsidR="00502ABA">
              <w:rPr>
                <w:rFonts w:ascii="Times New Roman" w:eastAsia="Times New Roman" w:hAnsi="Times New Roman" w:cs="Times New Roman"/>
                <w:color w:val="000000"/>
                <w:sz w:val="24"/>
                <w:szCs w:val="24"/>
              </w:rPr>
              <w:t>3</w:t>
            </w:r>
            <w:r w:rsidRPr="00877DC2">
              <w:rPr>
                <w:rFonts w:ascii="Times New Roman" w:eastAsia="Times New Roman" w:hAnsi="Times New Roman" w:cs="Times New Roman"/>
                <w:color w:val="000000"/>
                <w:sz w:val="24"/>
                <w:szCs w:val="24"/>
              </w:rPr>
              <w:t>%</w:t>
            </w:r>
          </w:p>
        </w:tc>
        <w:tc>
          <w:tcPr>
            <w:tcW w:w="1075" w:type="dxa"/>
            <w:tcBorders>
              <w:top w:val="nil"/>
              <w:left w:val="nil"/>
              <w:bottom w:val="nil"/>
              <w:right w:val="nil"/>
            </w:tcBorders>
            <w:shd w:val="clear" w:color="auto" w:fill="auto"/>
            <w:noWrap/>
            <w:hideMark/>
          </w:tcPr>
          <w:p w14:paraId="756D9B50" w14:textId="31ACA2D6"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20.</w:t>
            </w:r>
            <w:r w:rsidR="00565E21">
              <w:rPr>
                <w:rFonts w:ascii="Times New Roman" w:eastAsia="Times New Roman" w:hAnsi="Times New Roman" w:cs="Times New Roman"/>
                <w:color w:val="000000"/>
                <w:sz w:val="24"/>
                <w:szCs w:val="24"/>
              </w:rPr>
              <w:t>1</w:t>
            </w:r>
            <w:r w:rsidRPr="00877DC2">
              <w:rPr>
                <w:rFonts w:ascii="Times New Roman" w:eastAsia="Times New Roman" w:hAnsi="Times New Roman" w:cs="Times New Roman"/>
                <w:color w:val="000000"/>
                <w:sz w:val="24"/>
                <w:szCs w:val="24"/>
              </w:rPr>
              <w:t>%</w:t>
            </w:r>
          </w:p>
        </w:tc>
        <w:tc>
          <w:tcPr>
            <w:tcW w:w="956" w:type="dxa"/>
            <w:tcBorders>
              <w:top w:val="nil"/>
              <w:left w:val="nil"/>
              <w:bottom w:val="nil"/>
              <w:right w:val="nil"/>
            </w:tcBorders>
            <w:shd w:val="clear" w:color="auto" w:fill="auto"/>
            <w:noWrap/>
            <w:hideMark/>
          </w:tcPr>
          <w:p w14:paraId="08EC3125"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60.2%</w:t>
            </w:r>
          </w:p>
        </w:tc>
        <w:tc>
          <w:tcPr>
            <w:tcW w:w="222" w:type="dxa"/>
            <w:tcBorders>
              <w:top w:val="nil"/>
              <w:left w:val="nil"/>
              <w:bottom w:val="nil"/>
              <w:right w:val="nil"/>
            </w:tcBorders>
            <w:shd w:val="clear" w:color="auto" w:fill="auto"/>
            <w:noWrap/>
            <w:hideMark/>
          </w:tcPr>
          <w:p w14:paraId="68260D44"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p>
        </w:tc>
        <w:tc>
          <w:tcPr>
            <w:tcW w:w="1096" w:type="dxa"/>
            <w:tcBorders>
              <w:top w:val="nil"/>
              <w:left w:val="nil"/>
              <w:bottom w:val="nil"/>
              <w:right w:val="nil"/>
            </w:tcBorders>
            <w:shd w:val="clear" w:color="auto" w:fill="auto"/>
            <w:noWrap/>
            <w:hideMark/>
          </w:tcPr>
          <w:p w14:paraId="16D7C5B8" w14:textId="65641014" w:rsidR="000F7C00" w:rsidRPr="00877DC2" w:rsidRDefault="00502ABA" w:rsidP="00211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14.6</w:t>
            </w:r>
            <w:r w:rsidR="000F7C00" w:rsidRPr="00877DC2">
              <w:rPr>
                <w:rFonts w:ascii="Times New Roman" w:eastAsia="Times New Roman" w:hAnsi="Times New Roman" w:cs="Times New Roman"/>
                <w:color w:val="000000"/>
                <w:sz w:val="24"/>
                <w:szCs w:val="24"/>
              </w:rPr>
              <w:t>%</w:t>
            </w:r>
          </w:p>
        </w:tc>
        <w:tc>
          <w:tcPr>
            <w:tcW w:w="956" w:type="dxa"/>
            <w:tcBorders>
              <w:top w:val="nil"/>
              <w:left w:val="nil"/>
              <w:bottom w:val="nil"/>
              <w:right w:val="nil"/>
            </w:tcBorders>
            <w:shd w:val="clear" w:color="auto" w:fill="auto"/>
            <w:noWrap/>
            <w:hideMark/>
          </w:tcPr>
          <w:p w14:paraId="6EC8D96A" w14:textId="4AC9C9D9"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20.</w:t>
            </w:r>
            <w:r w:rsidR="00E436EB">
              <w:rPr>
                <w:rFonts w:ascii="Times New Roman" w:eastAsia="Times New Roman" w:hAnsi="Times New Roman" w:cs="Times New Roman"/>
                <w:color w:val="000000"/>
                <w:sz w:val="24"/>
                <w:szCs w:val="24"/>
              </w:rPr>
              <w:t>3</w:t>
            </w:r>
            <w:r w:rsidRPr="00877DC2">
              <w:rPr>
                <w:rFonts w:ascii="Times New Roman" w:eastAsia="Times New Roman" w:hAnsi="Times New Roman" w:cs="Times New Roman"/>
                <w:color w:val="000000"/>
                <w:sz w:val="24"/>
                <w:szCs w:val="24"/>
              </w:rPr>
              <w:t>%</w:t>
            </w:r>
          </w:p>
        </w:tc>
        <w:tc>
          <w:tcPr>
            <w:tcW w:w="956" w:type="dxa"/>
            <w:tcBorders>
              <w:top w:val="nil"/>
              <w:left w:val="nil"/>
              <w:bottom w:val="nil"/>
              <w:right w:val="nil"/>
            </w:tcBorders>
            <w:shd w:val="clear" w:color="auto" w:fill="auto"/>
            <w:noWrap/>
            <w:hideMark/>
          </w:tcPr>
          <w:p w14:paraId="2A49B2D7" w14:textId="2B5144DB"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57.</w:t>
            </w:r>
            <w:r w:rsidR="00AF4930">
              <w:rPr>
                <w:rFonts w:ascii="Times New Roman" w:eastAsia="Times New Roman" w:hAnsi="Times New Roman" w:cs="Times New Roman"/>
                <w:color w:val="000000"/>
                <w:sz w:val="24"/>
                <w:szCs w:val="24"/>
              </w:rPr>
              <w:t>2</w:t>
            </w:r>
            <w:r w:rsidRPr="00877DC2">
              <w:rPr>
                <w:rFonts w:ascii="Times New Roman" w:eastAsia="Times New Roman" w:hAnsi="Times New Roman" w:cs="Times New Roman"/>
                <w:color w:val="000000"/>
                <w:sz w:val="24"/>
                <w:szCs w:val="24"/>
              </w:rPr>
              <w:t>%</w:t>
            </w:r>
          </w:p>
        </w:tc>
        <w:tc>
          <w:tcPr>
            <w:tcW w:w="222" w:type="dxa"/>
            <w:tcBorders>
              <w:top w:val="nil"/>
              <w:left w:val="nil"/>
              <w:bottom w:val="nil"/>
              <w:right w:val="nil"/>
            </w:tcBorders>
            <w:shd w:val="clear" w:color="auto" w:fill="auto"/>
            <w:noWrap/>
            <w:hideMark/>
          </w:tcPr>
          <w:p w14:paraId="685EBB58"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p>
        </w:tc>
        <w:tc>
          <w:tcPr>
            <w:tcW w:w="1096" w:type="dxa"/>
            <w:tcBorders>
              <w:top w:val="nil"/>
              <w:left w:val="nil"/>
              <w:bottom w:val="nil"/>
              <w:right w:val="nil"/>
            </w:tcBorders>
            <w:shd w:val="clear" w:color="auto" w:fill="auto"/>
            <w:noWrap/>
            <w:hideMark/>
          </w:tcPr>
          <w:p w14:paraId="154605A0" w14:textId="1EC089BD" w:rsidR="000F7C00" w:rsidRPr="00877DC2" w:rsidRDefault="00430467"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w:t>
            </w:r>
            <w:r w:rsidR="00AF493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6</w:t>
            </w:r>
            <w:r w:rsidR="000F7C00" w:rsidRPr="00877DC2">
              <w:rPr>
                <w:rFonts w:ascii="Times New Roman" w:eastAsia="Times New Roman" w:hAnsi="Times New Roman" w:cs="Times New Roman"/>
                <w:color w:val="000000"/>
                <w:sz w:val="24"/>
                <w:szCs w:val="24"/>
              </w:rPr>
              <w:t>%</w:t>
            </w:r>
          </w:p>
        </w:tc>
        <w:tc>
          <w:tcPr>
            <w:tcW w:w="883" w:type="dxa"/>
            <w:tcBorders>
              <w:top w:val="nil"/>
              <w:left w:val="nil"/>
              <w:bottom w:val="nil"/>
              <w:right w:val="nil"/>
            </w:tcBorders>
            <w:shd w:val="clear" w:color="auto" w:fill="auto"/>
            <w:noWrap/>
            <w:hideMark/>
          </w:tcPr>
          <w:p w14:paraId="3A5278C2" w14:textId="5B70DEFE" w:rsidR="000F7C00" w:rsidRPr="00877DC2" w:rsidRDefault="00AF4930" w:rsidP="004B26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E436EB">
              <w:rPr>
                <w:rFonts w:ascii="Times New Roman" w:eastAsia="Times New Roman" w:hAnsi="Times New Roman" w:cs="Times New Roman"/>
                <w:color w:val="000000"/>
                <w:sz w:val="24"/>
                <w:szCs w:val="24"/>
              </w:rPr>
              <w:t>8</w:t>
            </w:r>
            <w:r w:rsidR="000F7C00" w:rsidRPr="00877DC2">
              <w:rPr>
                <w:rFonts w:ascii="Times New Roman" w:eastAsia="Times New Roman" w:hAnsi="Times New Roman" w:cs="Times New Roman"/>
                <w:color w:val="000000"/>
                <w:sz w:val="24"/>
                <w:szCs w:val="24"/>
              </w:rPr>
              <w:t>%</w:t>
            </w:r>
          </w:p>
        </w:tc>
        <w:tc>
          <w:tcPr>
            <w:tcW w:w="883" w:type="dxa"/>
            <w:tcBorders>
              <w:top w:val="nil"/>
              <w:left w:val="nil"/>
              <w:bottom w:val="nil"/>
              <w:right w:val="nil"/>
            </w:tcBorders>
            <w:shd w:val="clear" w:color="auto" w:fill="auto"/>
            <w:noWrap/>
            <w:hideMark/>
          </w:tcPr>
          <w:p w14:paraId="08EF75B5" w14:textId="7FEB966A"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6</w:t>
            </w:r>
            <w:r w:rsidR="00AF4930">
              <w:rPr>
                <w:rFonts w:ascii="Times New Roman" w:eastAsia="Times New Roman" w:hAnsi="Times New Roman" w:cs="Times New Roman"/>
                <w:color w:val="000000"/>
                <w:sz w:val="24"/>
                <w:szCs w:val="24"/>
              </w:rPr>
              <w:t>4</w:t>
            </w:r>
            <w:r w:rsidRPr="00877DC2">
              <w:rPr>
                <w:rFonts w:ascii="Times New Roman" w:eastAsia="Times New Roman" w:hAnsi="Times New Roman" w:cs="Times New Roman"/>
                <w:color w:val="000000"/>
                <w:sz w:val="24"/>
                <w:szCs w:val="24"/>
              </w:rPr>
              <w:t>.</w:t>
            </w:r>
            <w:r w:rsidR="00AF4930">
              <w:rPr>
                <w:rFonts w:ascii="Times New Roman" w:eastAsia="Times New Roman" w:hAnsi="Times New Roman" w:cs="Times New Roman"/>
                <w:color w:val="000000"/>
                <w:sz w:val="24"/>
                <w:szCs w:val="24"/>
              </w:rPr>
              <w:t>2</w:t>
            </w:r>
            <w:r w:rsidRPr="00877DC2">
              <w:rPr>
                <w:rFonts w:ascii="Times New Roman" w:eastAsia="Times New Roman" w:hAnsi="Times New Roman" w:cs="Times New Roman"/>
                <w:color w:val="000000"/>
                <w:sz w:val="24"/>
                <w:szCs w:val="24"/>
              </w:rPr>
              <w:t>%</w:t>
            </w:r>
          </w:p>
        </w:tc>
        <w:tc>
          <w:tcPr>
            <w:tcW w:w="222" w:type="dxa"/>
            <w:tcBorders>
              <w:top w:val="nil"/>
              <w:left w:val="nil"/>
              <w:bottom w:val="nil"/>
              <w:right w:val="nil"/>
            </w:tcBorders>
            <w:shd w:val="clear" w:color="auto" w:fill="auto"/>
            <w:noWrap/>
            <w:hideMark/>
          </w:tcPr>
          <w:p w14:paraId="65836250"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p>
        </w:tc>
        <w:tc>
          <w:tcPr>
            <w:tcW w:w="1096" w:type="dxa"/>
            <w:tcBorders>
              <w:top w:val="nil"/>
              <w:left w:val="nil"/>
              <w:bottom w:val="nil"/>
              <w:right w:val="nil"/>
            </w:tcBorders>
            <w:shd w:val="clear" w:color="auto" w:fill="auto"/>
            <w:noWrap/>
            <w:hideMark/>
          </w:tcPr>
          <w:p w14:paraId="7C5F94CA" w14:textId="4C5D7F61" w:rsidR="000F7C00" w:rsidRPr="00877DC2" w:rsidRDefault="00430467"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r w:rsidR="000F7C00" w:rsidRPr="00877D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9</w:t>
            </w:r>
            <w:r w:rsidR="000F7C00" w:rsidRPr="00877DC2">
              <w:rPr>
                <w:rFonts w:ascii="Times New Roman" w:eastAsia="Times New Roman" w:hAnsi="Times New Roman" w:cs="Times New Roman"/>
                <w:color w:val="000000"/>
                <w:sz w:val="24"/>
                <w:szCs w:val="24"/>
              </w:rPr>
              <w:t>%</w:t>
            </w:r>
          </w:p>
        </w:tc>
        <w:tc>
          <w:tcPr>
            <w:tcW w:w="956" w:type="dxa"/>
            <w:tcBorders>
              <w:top w:val="nil"/>
              <w:left w:val="nil"/>
              <w:bottom w:val="nil"/>
              <w:right w:val="nil"/>
            </w:tcBorders>
            <w:shd w:val="clear" w:color="auto" w:fill="auto"/>
            <w:noWrap/>
            <w:hideMark/>
          </w:tcPr>
          <w:p w14:paraId="79DC01A4" w14:textId="77777777"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19.9%</w:t>
            </w:r>
          </w:p>
        </w:tc>
        <w:tc>
          <w:tcPr>
            <w:tcW w:w="1035" w:type="dxa"/>
            <w:tcBorders>
              <w:top w:val="nil"/>
              <w:left w:val="nil"/>
              <w:bottom w:val="nil"/>
              <w:right w:val="nil"/>
            </w:tcBorders>
            <w:shd w:val="clear" w:color="auto" w:fill="auto"/>
            <w:noWrap/>
            <w:hideMark/>
          </w:tcPr>
          <w:p w14:paraId="0837DEF4" w14:textId="43842C0E" w:rsidR="000F7C00" w:rsidRPr="00877DC2" w:rsidRDefault="000F7C00" w:rsidP="00211FA3">
            <w:pPr>
              <w:spacing w:after="0" w:line="240" w:lineRule="auto"/>
              <w:jc w:val="center"/>
              <w:rPr>
                <w:rFonts w:ascii="Times New Roman" w:eastAsia="Times New Roman" w:hAnsi="Times New Roman" w:cs="Times New Roman"/>
                <w:color w:val="000000"/>
                <w:sz w:val="24"/>
                <w:szCs w:val="24"/>
              </w:rPr>
            </w:pPr>
            <w:r w:rsidRPr="00877DC2">
              <w:rPr>
                <w:rFonts w:ascii="Times New Roman" w:eastAsia="Times New Roman" w:hAnsi="Times New Roman" w:cs="Times New Roman"/>
                <w:color w:val="000000"/>
                <w:sz w:val="24"/>
                <w:szCs w:val="24"/>
              </w:rPr>
              <w:t>5</w:t>
            </w:r>
            <w:r w:rsidR="00430467">
              <w:rPr>
                <w:rFonts w:ascii="Times New Roman" w:eastAsia="Times New Roman" w:hAnsi="Times New Roman" w:cs="Times New Roman"/>
                <w:color w:val="000000"/>
                <w:sz w:val="24"/>
                <w:szCs w:val="24"/>
              </w:rPr>
              <w:t>9</w:t>
            </w:r>
            <w:r w:rsidRPr="00877DC2">
              <w:rPr>
                <w:rFonts w:ascii="Times New Roman" w:eastAsia="Times New Roman" w:hAnsi="Times New Roman" w:cs="Times New Roman"/>
                <w:color w:val="000000"/>
                <w:sz w:val="24"/>
                <w:szCs w:val="24"/>
              </w:rPr>
              <w:t>.</w:t>
            </w:r>
            <w:r w:rsidR="00430467">
              <w:rPr>
                <w:rFonts w:ascii="Times New Roman" w:eastAsia="Times New Roman" w:hAnsi="Times New Roman" w:cs="Times New Roman"/>
                <w:color w:val="000000"/>
                <w:sz w:val="24"/>
                <w:szCs w:val="24"/>
              </w:rPr>
              <w:t>0</w:t>
            </w:r>
            <w:r w:rsidRPr="00877DC2">
              <w:rPr>
                <w:rFonts w:ascii="Times New Roman" w:eastAsia="Times New Roman" w:hAnsi="Times New Roman" w:cs="Times New Roman"/>
                <w:color w:val="000000"/>
                <w:sz w:val="24"/>
                <w:szCs w:val="24"/>
              </w:rPr>
              <w:t>%</w:t>
            </w:r>
          </w:p>
        </w:tc>
      </w:tr>
      <w:tr w:rsidR="000F7C00" w:rsidRPr="00F46D68" w14:paraId="658D0923" w14:textId="77777777" w:rsidTr="00211FA3">
        <w:trPr>
          <w:trHeight w:val="104"/>
          <w:jc w:val="center"/>
        </w:trPr>
        <w:tc>
          <w:tcPr>
            <w:tcW w:w="14236" w:type="dxa"/>
            <w:gridSpan w:val="16"/>
            <w:tcBorders>
              <w:top w:val="nil"/>
              <w:left w:val="nil"/>
              <w:bottom w:val="single" w:sz="4" w:space="0" w:color="auto"/>
              <w:right w:val="nil"/>
            </w:tcBorders>
            <w:shd w:val="clear" w:color="auto" w:fill="auto"/>
            <w:noWrap/>
            <w:vAlign w:val="bottom"/>
            <w:hideMark/>
          </w:tcPr>
          <w:p w14:paraId="1E48AFCD" w14:textId="77777777" w:rsidR="000F7C00" w:rsidRPr="00F46D68" w:rsidRDefault="000F7C00" w:rsidP="00211FA3">
            <w:pPr>
              <w:spacing w:after="0" w:line="240" w:lineRule="auto"/>
              <w:jc w:val="center"/>
              <w:rPr>
                <w:rFonts w:ascii="Calibri" w:eastAsia="Times New Roman" w:hAnsi="Calibri" w:cs="Calibri"/>
                <w:color w:val="000000"/>
              </w:rPr>
            </w:pPr>
            <w:r w:rsidRPr="00F46D68">
              <w:rPr>
                <w:rFonts w:ascii="Calibri" w:eastAsia="Times New Roman" w:hAnsi="Calibri" w:cs="Calibri"/>
                <w:color w:val="000000"/>
              </w:rPr>
              <w:t> </w:t>
            </w:r>
          </w:p>
        </w:tc>
      </w:tr>
      <w:tr w:rsidR="000F7C00" w:rsidRPr="00F46D68" w14:paraId="357761CC" w14:textId="77777777" w:rsidTr="00211FA3">
        <w:trPr>
          <w:trHeight w:val="701"/>
          <w:jc w:val="center"/>
        </w:trPr>
        <w:tc>
          <w:tcPr>
            <w:tcW w:w="14236" w:type="dxa"/>
            <w:gridSpan w:val="16"/>
            <w:tcBorders>
              <w:top w:val="single" w:sz="4" w:space="0" w:color="auto"/>
              <w:left w:val="nil"/>
              <w:bottom w:val="nil"/>
              <w:right w:val="nil"/>
            </w:tcBorders>
            <w:shd w:val="clear" w:color="auto" w:fill="auto"/>
            <w:vAlign w:val="center"/>
            <w:hideMark/>
          </w:tcPr>
          <w:p w14:paraId="6EA4705C" w14:textId="77777777" w:rsidR="000F7C00" w:rsidRPr="00F46D68" w:rsidRDefault="000F7C00" w:rsidP="00211FA3">
            <w:pPr>
              <w:spacing w:after="0" w:line="240" w:lineRule="auto"/>
              <w:rPr>
                <w:rFonts w:ascii="Times New Roman" w:eastAsia="Times New Roman" w:hAnsi="Times New Roman" w:cs="Times New Roman"/>
                <w:color w:val="000000"/>
                <w:sz w:val="20"/>
                <w:szCs w:val="20"/>
              </w:rPr>
            </w:pPr>
            <w:r w:rsidRPr="008640AF">
              <w:rPr>
                <w:rFonts w:ascii="Times New Roman" w:eastAsia="Times New Roman" w:hAnsi="Times New Roman" w:cs="Times New Roman"/>
                <w:i/>
                <w:color w:val="000000"/>
                <w:sz w:val="20"/>
                <w:szCs w:val="20"/>
              </w:rPr>
              <w:t>Note</w:t>
            </w:r>
            <w:r w:rsidRPr="00F46D68">
              <w:rPr>
                <w:rFonts w:ascii="Times New Roman" w:eastAsia="Times New Roman" w:hAnsi="Times New Roman" w:cs="Times New Roman"/>
                <w:color w:val="000000"/>
                <w:sz w:val="20"/>
                <w:szCs w:val="20"/>
              </w:rPr>
              <w:t>: High school graduates are defined as those with a high school degree (or equivalent) or some college</w:t>
            </w:r>
            <w:r>
              <w:rPr>
                <w:rFonts w:ascii="Times New Roman" w:eastAsia="Times New Roman" w:hAnsi="Times New Roman" w:cs="Times New Roman"/>
                <w:color w:val="000000"/>
                <w:sz w:val="20"/>
                <w:szCs w:val="20"/>
              </w:rPr>
              <w:t>,</w:t>
            </w:r>
            <w:r w:rsidRPr="00F46D68">
              <w:rPr>
                <w:rFonts w:ascii="Times New Roman" w:eastAsia="Times New Roman" w:hAnsi="Times New Roman" w:cs="Times New Roman"/>
                <w:color w:val="000000"/>
                <w:sz w:val="20"/>
                <w:szCs w:val="20"/>
              </w:rPr>
              <w:t xml:space="preserve"> but no degree. For 1979 data, we define associate degree (AA) holders as those with exactly two years of college education, and “BA or greater” as those with four or more years of college education.</w:t>
            </w:r>
          </w:p>
        </w:tc>
      </w:tr>
      <w:tr w:rsidR="000F7C00" w:rsidRPr="00F46D68" w14:paraId="68598223" w14:textId="77777777" w:rsidTr="00211FA3">
        <w:trPr>
          <w:trHeight w:val="275"/>
          <w:jc w:val="center"/>
        </w:trPr>
        <w:tc>
          <w:tcPr>
            <w:tcW w:w="14236" w:type="dxa"/>
            <w:gridSpan w:val="16"/>
            <w:tcBorders>
              <w:top w:val="nil"/>
              <w:left w:val="nil"/>
              <w:bottom w:val="nil"/>
              <w:right w:val="nil"/>
            </w:tcBorders>
            <w:shd w:val="clear" w:color="auto" w:fill="auto"/>
            <w:vAlign w:val="center"/>
            <w:hideMark/>
          </w:tcPr>
          <w:p w14:paraId="3FEFA9FF" w14:textId="77777777" w:rsidR="000F7C00" w:rsidRPr="00F46D68" w:rsidRDefault="000F7C00" w:rsidP="00211FA3">
            <w:pPr>
              <w:spacing w:after="0" w:line="240" w:lineRule="auto"/>
              <w:rPr>
                <w:rFonts w:ascii="Times New Roman" w:eastAsia="Times New Roman" w:hAnsi="Times New Roman" w:cs="Times New Roman"/>
                <w:color w:val="000000"/>
                <w:sz w:val="20"/>
                <w:szCs w:val="20"/>
              </w:rPr>
            </w:pPr>
            <w:r w:rsidRPr="008640AF">
              <w:rPr>
                <w:rFonts w:ascii="Times New Roman" w:eastAsia="Times New Roman" w:hAnsi="Times New Roman" w:cs="Times New Roman"/>
                <w:i/>
                <w:color w:val="000000"/>
                <w:sz w:val="20"/>
                <w:szCs w:val="20"/>
              </w:rPr>
              <w:t>Source</w:t>
            </w:r>
            <w:r>
              <w:rPr>
                <w:rFonts w:ascii="Times New Roman" w:eastAsia="Times New Roman" w:hAnsi="Times New Roman" w:cs="Times New Roman"/>
                <w:color w:val="000000"/>
                <w:sz w:val="20"/>
                <w:szCs w:val="20"/>
              </w:rPr>
              <w:t xml:space="preserve">: </w:t>
            </w:r>
            <w:r w:rsidRPr="00F46D68">
              <w:rPr>
                <w:rFonts w:ascii="Times New Roman" w:eastAsia="Times New Roman" w:hAnsi="Times New Roman" w:cs="Times New Roman"/>
                <w:color w:val="000000"/>
                <w:sz w:val="20"/>
                <w:szCs w:val="20"/>
              </w:rPr>
              <w:t xml:space="preserve">Authors’ calculations of March Current Population Survey 1980 and 2019 (Flood et al., 2019).  </w:t>
            </w:r>
          </w:p>
        </w:tc>
      </w:tr>
    </w:tbl>
    <w:p w14:paraId="4CE26523" w14:textId="34C50A1A" w:rsidR="0018258B" w:rsidRDefault="0018258B"/>
    <w:p w14:paraId="062154C6" w14:textId="77777777" w:rsidR="0018258B" w:rsidRDefault="0018258B">
      <w:r>
        <w:br w:type="page"/>
      </w:r>
    </w:p>
    <w:tbl>
      <w:tblPr>
        <w:tblW w:w="13680" w:type="dxa"/>
        <w:tblLayout w:type="fixed"/>
        <w:tblLook w:val="04A0" w:firstRow="1" w:lastRow="0" w:firstColumn="1" w:lastColumn="0" w:noHBand="0" w:noVBand="1"/>
      </w:tblPr>
      <w:tblGrid>
        <w:gridCol w:w="2970"/>
        <w:gridCol w:w="900"/>
        <w:gridCol w:w="488"/>
        <w:gridCol w:w="1132"/>
        <w:gridCol w:w="81"/>
        <w:gridCol w:w="32"/>
        <w:gridCol w:w="918"/>
        <w:gridCol w:w="49"/>
        <w:gridCol w:w="215"/>
        <w:gridCol w:w="63"/>
        <w:gridCol w:w="622"/>
        <w:gridCol w:w="82"/>
        <w:gridCol w:w="541"/>
        <w:gridCol w:w="38"/>
        <w:gridCol w:w="215"/>
        <w:gridCol w:w="238"/>
        <w:gridCol w:w="754"/>
        <w:gridCol w:w="7"/>
        <w:gridCol w:w="270"/>
        <w:gridCol w:w="893"/>
        <w:gridCol w:w="51"/>
        <w:gridCol w:w="24"/>
        <w:gridCol w:w="63"/>
        <w:gridCol w:w="1032"/>
        <w:gridCol w:w="151"/>
        <w:gridCol w:w="1145"/>
        <w:gridCol w:w="655"/>
        <w:gridCol w:w="51"/>
      </w:tblGrid>
      <w:tr w:rsidR="0018258B" w:rsidRPr="001937FE" w14:paraId="2C73F342" w14:textId="77777777" w:rsidTr="0018258B">
        <w:trPr>
          <w:gridAfter w:val="2"/>
          <w:wAfter w:w="706" w:type="dxa"/>
          <w:trHeight w:val="600"/>
        </w:trPr>
        <w:tc>
          <w:tcPr>
            <w:tcW w:w="12974" w:type="dxa"/>
            <w:gridSpan w:val="26"/>
            <w:tcBorders>
              <w:top w:val="nil"/>
              <w:left w:val="nil"/>
              <w:bottom w:val="single" w:sz="4" w:space="0" w:color="auto"/>
              <w:right w:val="nil"/>
            </w:tcBorders>
            <w:shd w:val="clear" w:color="auto" w:fill="auto"/>
            <w:vAlign w:val="center"/>
            <w:hideMark/>
          </w:tcPr>
          <w:p w14:paraId="53BA4849" w14:textId="77777777" w:rsidR="0018258B" w:rsidRPr="001937FE" w:rsidRDefault="0018258B" w:rsidP="00E244D1">
            <w:pPr>
              <w:spacing w:after="0" w:line="240" w:lineRule="auto"/>
              <w:rPr>
                <w:rFonts w:ascii="Times New Roman" w:eastAsia="Times New Roman" w:hAnsi="Times New Roman" w:cs="Times New Roman"/>
                <w:b/>
                <w:bCs/>
                <w:color w:val="000000"/>
                <w:sz w:val="24"/>
                <w:szCs w:val="24"/>
              </w:rPr>
            </w:pPr>
            <w:r w:rsidRPr="001937FE">
              <w:rPr>
                <w:rFonts w:ascii="Times New Roman" w:eastAsia="Times New Roman" w:hAnsi="Times New Roman" w:cs="Times New Roman"/>
                <w:b/>
                <w:bCs/>
                <w:color w:val="000000"/>
                <w:sz w:val="24"/>
                <w:szCs w:val="24"/>
              </w:rPr>
              <w:lastRenderedPageBreak/>
              <w:t>Table 3: Simulated Effects of Increasing College Shares on Annual Earnings Distributions: Using Distribution Approach</w:t>
            </w:r>
          </w:p>
        </w:tc>
      </w:tr>
      <w:tr w:rsidR="0018258B" w:rsidRPr="001937FE" w14:paraId="3A21DC4A" w14:textId="77777777" w:rsidTr="0018258B">
        <w:trPr>
          <w:gridAfter w:val="2"/>
          <w:wAfter w:w="706" w:type="dxa"/>
          <w:trHeight w:val="320"/>
        </w:trPr>
        <w:tc>
          <w:tcPr>
            <w:tcW w:w="2970" w:type="dxa"/>
            <w:tcBorders>
              <w:top w:val="nil"/>
              <w:left w:val="nil"/>
              <w:bottom w:val="nil"/>
              <w:right w:val="nil"/>
            </w:tcBorders>
            <w:shd w:val="clear" w:color="auto" w:fill="auto"/>
            <w:noWrap/>
            <w:vAlign w:val="bottom"/>
            <w:hideMark/>
          </w:tcPr>
          <w:p w14:paraId="7748038A" w14:textId="77777777" w:rsidR="0018258B" w:rsidRPr="001937FE" w:rsidRDefault="0018258B" w:rsidP="00E244D1">
            <w:pPr>
              <w:spacing w:after="0" w:line="240" w:lineRule="auto"/>
              <w:rPr>
                <w:rFonts w:ascii="Times New Roman" w:eastAsia="Times New Roman" w:hAnsi="Times New Roman" w:cs="Times New Roman"/>
                <w:b/>
                <w:bCs/>
                <w:color w:val="000000"/>
                <w:sz w:val="24"/>
                <w:szCs w:val="24"/>
              </w:rPr>
            </w:pPr>
          </w:p>
        </w:tc>
        <w:tc>
          <w:tcPr>
            <w:tcW w:w="900" w:type="dxa"/>
            <w:tcBorders>
              <w:top w:val="nil"/>
              <w:left w:val="nil"/>
              <w:bottom w:val="nil"/>
              <w:right w:val="nil"/>
            </w:tcBorders>
            <w:shd w:val="clear" w:color="auto" w:fill="auto"/>
            <w:noWrap/>
            <w:vAlign w:val="bottom"/>
            <w:hideMark/>
          </w:tcPr>
          <w:p w14:paraId="20BCB9CC" w14:textId="77777777" w:rsidR="0018258B" w:rsidRPr="001937FE" w:rsidRDefault="0018258B" w:rsidP="00E244D1">
            <w:pPr>
              <w:spacing w:after="0" w:line="240" w:lineRule="auto"/>
              <w:rPr>
                <w:rFonts w:ascii="Times New Roman" w:eastAsia="Times New Roman" w:hAnsi="Times New Roman" w:cs="Times New Roman"/>
                <w:sz w:val="20"/>
                <w:szCs w:val="20"/>
              </w:rPr>
            </w:pPr>
          </w:p>
        </w:tc>
        <w:tc>
          <w:tcPr>
            <w:tcW w:w="1620" w:type="dxa"/>
            <w:gridSpan w:val="2"/>
            <w:tcBorders>
              <w:top w:val="nil"/>
              <w:left w:val="nil"/>
              <w:bottom w:val="nil"/>
              <w:right w:val="nil"/>
            </w:tcBorders>
            <w:shd w:val="clear" w:color="auto" w:fill="auto"/>
            <w:noWrap/>
            <w:vAlign w:val="bottom"/>
            <w:hideMark/>
          </w:tcPr>
          <w:p w14:paraId="033099E9" w14:textId="77777777" w:rsidR="0018258B" w:rsidRPr="001937FE" w:rsidRDefault="0018258B" w:rsidP="00E244D1">
            <w:pPr>
              <w:spacing w:after="0" w:line="240" w:lineRule="auto"/>
              <w:rPr>
                <w:rFonts w:ascii="Times New Roman" w:eastAsia="Times New Roman" w:hAnsi="Times New Roman" w:cs="Times New Roman"/>
                <w:sz w:val="20"/>
                <w:szCs w:val="20"/>
              </w:rPr>
            </w:pPr>
          </w:p>
        </w:tc>
        <w:tc>
          <w:tcPr>
            <w:tcW w:w="6188" w:type="dxa"/>
            <w:gridSpan w:val="20"/>
            <w:tcBorders>
              <w:top w:val="nil"/>
              <w:left w:val="nil"/>
              <w:bottom w:val="single" w:sz="8" w:space="0" w:color="auto"/>
              <w:right w:val="nil"/>
            </w:tcBorders>
            <w:shd w:val="clear" w:color="auto" w:fill="auto"/>
            <w:noWrap/>
            <w:vAlign w:val="center"/>
            <w:hideMark/>
          </w:tcPr>
          <w:p w14:paraId="7A8D281A" w14:textId="77777777" w:rsidR="0018258B" w:rsidRPr="001937FE" w:rsidRDefault="0018258B" w:rsidP="00E244D1">
            <w:pPr>
              <w:spacing w:after="0" w:line="240" w:lineRule="auto"/>
              <w:jc w:val="center"/>
              <w:rPr>
                <w:rFonts w:ascii="Times New Roman" w:eastAsia="Times New Roman" w:hAnsi="Times New Roman" w:cs="Times New Roman"/>
                <w:color w:val="000000"/>
                <w:sz w:val="24"/>
                <w:szCs w:val="24"/>
              </w:rPr>
            </w:pPr>
            <w:r w:rsidRPr="001937FE">
              <w:rPr>
                <w:rFonts w:ascii="Times New Roman" w:eastAsia="Times New Roman" w:hAnsi="Times New Roman" w:cs="Times New Roman"/>
                <w:color w:val="000000"/>
                <w:sz w:val="24"/>
                <w:szCs w:val="24"/>
              </w:rPr>
              <w:t>Annual Earnings</w:t>
            </w:r>
          </w:p>
        </w:tc>
        <w:tc>
          <w:tcPr>
            <w:tcW w:w="1296" w:type="dxa"/>
            <w:gridSpan w:val="2"/>
            <w:tcBorders>
              <w:top w:val="nil"/>
              <w:left w:val="nil"/>
              <w:bottom w:val="single" w:sz="8" w:space="0" w:color="auto"/>
              <w:right w:val="nil"/>
            </w:tcBorders>
            <w:shd w:val="clear" w:color="auto" w:fill="auto"/>
            <w:noWrap/>
            <w:vAlign w:val="center"/>
            <w:hideMark/>
          </w:tcPr>
          <w:p w14:paraId="144870F3" w14:textId="77777777" w:rsidR="0018258B" w:rsidRPr="001937FE" w:rsidRDefault="0018258B" w:rsidP="00E244D1">
            <w:pPr>
              <w:spacing w:after="0" w:line="240" w:lineRule="auto"/>
              <w:jc w:val="center"/>
              <w:rPr>
                <w:rFonts w:ascii="Times New Roman" w:eastAsia="Times New Roman" w:hAnsi="Times New Roman" w:cs="Times New Roman"/>
                <w:color w:val="000000"/>
                <w:sz w:val="24"/>
                <w:szCs w:val="24"/>
              </w:rPr>
            </w:pPr>
            <w:r w:rsidRPr="001937FE">
              <w:rPr>
                <w:rFonts w:ascii="Times New Roman" w:eastAsia="Times New Roman" w:hAnsi="Times New Roman" w:cs="Times New Roman"/>
                <w:color w:val="000000"/>
                <w:sz w:val="24"/>
                <w:szCs w:val="24"/>
              </w:rPr>
              <w:t> </w:t>
            </w:r>
          </w:p>
        </w:tc>
      </w:tr>
      <w:tr w:rsidR="0018258B" w:rsidRPr="001937FE" w14:paraId="21E0F2DF" w14:textId="77777777" w:rsidTr="0018258B">
        <w:trPr>
          <w:gridAfter w:val="2"/>
          <w:wAfter w:w="706" w:type="dxa"/>
          <w:trHeight w:val="864"/>
        </w:trPr>
        <w:tc>
          <w:tcPr>
            <w:tcW w:w="2970" w:type="dxa"/>
            <w:tcBorders>
              <w:top w:val="nil"/>
              <w:left w:val="nil"/>
              <w:bottom w:val="single" w:sz="8" w:space="0" w:color="auto"/>
              <w:right w:val="nil"/>
            </w:tcBorders>
            <w:shd w:val="clear" w:color="auto" w:fill="auto"/>
            <w:noWrap/>
            <w:vAlign w:val="center"/>
            <w:hideMark/>
          </w:tcPr>
          <w:p w14:paraId="400CDDB2" w14:textId="77777777" w:rsidR="0018258B" w:rsidRPr="001937FE" w:rsidRDefault="0018258B" w:rsidP="00E244D1">
            <w:pPr>
              <w:spacing w:after="0" w:line="240" w:lineRule="auto"/>
              <w:rPr>
                <w:rFonts w:ascii="Times New Roman" w:eastAsia="Times New Roman" w:hAnsi="Times New Roman" w:cs="Times New Roman"/>
                <w:color w:val="000000"/>
                <w:sz w:val="24"/>
                <w:szCs w:val="24"/>
              </w:rPr>
            </w:pPr>
            <w:r w:rsidRPr="001937FE">
              <w:rPr>
                <w:rFonts w:ascii="Times New Roman" w:eastAsia="Times New Roman" w:hAnsi="Times New Roman" w:cs="Times New Roman"/>
                <w:color w:val="000000"/>
                <w:sz w:val="24"/>
                <w:szCs w:val="24"/>
              </w:rPr>
              <w:t> </w:t>
            </w:r>
          </w:p>
        </w:tc>
        <w:tc>
          <w:tcPr>
            <w:tcW w:w="900" w:type="dxa"/>
            <w:tcBorders>
              <w:top w:val="nil"/>
              <w:left w:val="nil"/>
              <w:bottom w:val="single" w:sz="8" w:space="0" w:color="auto"/>
              <w:right w:val="nil"/>
            </w:tcBorders>
            <w:shd w:val="clear" w:color="auto" w:fill="auto"/>
            <w:vAlign w:val="center"/>
            <w:hideMark/>
          </w:tcPr>
          <w:p w14:paraId="48A1D533" w14:textId="77777777" w:rsidR="0018258B" w:rsidRPr="001937FE" w:rsidRDefault="0018258B" w:rsidP="00E244D1">
            <w:pPr>
              <w:spacing w:after="0" w:line="240" w:lineRule="auto"/>
              <w:jc w:val="center"/>
              <w:rPr>
                <w:rFonts w:ascii="Times New Roman" w:eastAsia="Times New Roman" w:hAnsi="Times New Roman" w:cs="Times New Roman"/>
                <w:color w:val="000000"/>
                <w:sz w:val="24"/>
                <w:szCs w:val="24"/>
              </w:rPr>
            </w:pPr>
            <w:r w:rsidRPr="001937FE">
              <w:rPr>
                <w:rFonts w:ascii="Times New Roman" w:eastAsia="Times New Roman" w:hAnsi="Times New Roman" w:cs="Times New Roman"/>
                <w:color w:val="000000"/>
                <w:sz w:val="24"/>
                <w:szCs w:val="24"/>
              </w:rPr>
              <w:t>Share with AA</w:t>
            </w:r>
          </w:p>
        </w:tc>
        <w:tc>
          <w:tcPr>
            <w:tcW w:w="1620" w:type="dxa"/>
            <w:gridSpan w:val="2"/>
            <w:tcBorders>
              <w:top w:val="nil"/>
              <w:left w:val="nil"/>
              <w:bottom w:val="single" w:sz="8" w:space="0" w:color="auto"/>
              <w:right w:val="nil"/>
            </w:tcBorders>
            <w:shd w:val="clear" w:color="auto" w:fill="auto"/>
            <w:vAlign w:val="center"/>
            <w:hideMark/>
          </w:tcPr>
          <w:p w14:paraId="037CCFB6" w14:textId="77777777" w:rsidR="0018258B" w:rsidRPr="001937FE" w:rsidRDefault="0018258B" w:rsidP="00E244D1">
            <w:pPr>
              <w:spacing w:after="0" w:line="240" w:lineRule="auto"/>
              <w:jc w:val="center"/>
              <w:rPr>
                <w:rFonts w:ascii="Times New Roman" w:eastAsia="Times New Roman" w:hAnsi="Times New Roman" w:cs="Times New Roman"/>
                <w:color w:val="000000"/>
                <w:sz w:val="24"/>
                <w:szCs w:val="24"/>
              </w:rPr>
            </w:pPr>
            <w:r w:rsidRPr="001937FE">
              <w:rPr>
                <w:rFonts w:ascii="Times New Roman" w:eastAsia="Times New Roman" w:hAnsi="Times New Roman" w:cs="Times New Roman"/>
                <w:color w:val="000000"/>
                <w:sz w:val="24"/>
                <w:szCs w:val="24"/>
              </w:rPr>
              <w:t>Share with BA or greater</w:t>
            </w:r>
          </w:p>
        </w:tc>
        <w:tc>
          <w:tcPr>
            <w:tcW w:w="1031" w:type="dxa"/>
            <w:gridSpan w:val="3"/>
            <w:tcBorders>
              <w:top w:val="nil"/>
              <w:left w:val="nil"/>
              <w:bottom w:val="single" w:sz="8" w:space="0" w:color="auto"/>
              <w:right w:val="nil"/>
            </w:tcBorders>
            <w:shd w:val="clear" w:color="auto" w:fill="auto"/>
            <w:noWrap/>
            <w:vAlign w:val="center"/>
            <w:hideMark/>
          </w:tcPr>
          <w:p w14:paraId="663925D9" w14:textId="77777777" w:rsidR="0018258B" w:rsidRPr="001937FE" w:rsidRDefault="0018258B" w:rsidP="00E244D1">
            <w:pPr>
              <w:spacing w:after="0" w:line="240" w:lineRule="auto"/>
              <w:jc w:val="center"/>
              <w:rPr>
                <w:rFonts w:ascii="Times New Roman" w:eastAsia="Times New Roman" w:hAnsi="Times New Roman" w:cs="Times New Roman"/>
                <w:color w:val="000000"/>
                <w:sz w:val="24"/>
                <w:szCs w:val="24"/>
              </w:rPr>
            </w:pPr>
            <w:r w:rsidRPr="001937FE">
              <w:rPr>
                <w:rFonts w:ascii="Times New Roman" w:eastAsia="Times New Roman" w:hAnsi="Times New Roman" w:cs="Times New Roman"/>
                <w:color w:val="000000"/>
                <w:sz w:val="24"/>
                <w:szCs w:val="24"/>
              </w:rPr>
              <w:t>p10</w:t>
            </w:r>
          </w:p>
        </w:tc>
        <w:tc>
          <w:tcPr>
            <w:tcW w:w="1031" w:type="dxa"/>
            <w:gridSpan w:val="5"/>
            <w:tcBorders>
              <w:top w:val="nil"/>
              <w:left w:val="nil"/>
              <w:bottom w:val="single" w:sz="8" w:space="0" w:color="auto"/>
              <w:right w:val="nil"/>
            </w:tcBorders>
            <w:shd w:val="clear" w:color="auto" w:fill="auto"/>
            <w:noWrap/>
            <w:vAlign w:val="center"/>
            <w:hideMark/>
          </w:tcPr>
          <w:p w14:paraId="396DE088" w14:textId="77777777" w:rsidR="0018258B" w:rsidRPr="001937FE" w:rsidRDefault="0018258B" w:rsidP="00E244D1">
            <w:pPr>
              <w:spacing w:after="0" w:line="240" w:lineRule="auto"/>
              <w:jc w:val="center"/>
              <w:rPr>
                <w:rFonts w:ascii="Times New Roman" w:eastAsia="Times New Roman" w:hAnsi="Times New Roman" w:cs="Times New Roman"/>
                <w:color w:val="000000"/>
                <w:sz w:val="24"/>
                <w:szCs w:val="24"/>
              </w:rPr>
            </w:pPr>
            <w:r w:rsidRPr="001937FE">
              <w:rPr>
                <w:rFonts w:ascii="Times New Roman" w:eastAsia="Times New Roman" w:hAnsi="Times New Roman" w:cs="Times New Roman"/>
                <w:color w:val="000000"/>
                <w:sz w:val="24"/>
                <w:szCs w:val="24"/>
              </w:rPr>
              <w:t>p25</w:t>
            </w:r>
          </w:p>
        </w:tc>
        <w:tc>
          <w:tcPr>
            <w:tcW w:w="1032" w:type="dxa"/>
            <w:gridSpan w:val="4"/>
            <w:tcBorders>
              <w:top w:val="nil"/>
              <w:left w:val="nil"/>
              <w:bottom w:val="single" w:sz="8" w:space="0" w:color="auto"/>
              <w:right w:val="nil"/>
            </w:tcBorders>
            <w:shd w:val="clear" w:color="auto" w:fill="auto"/>
            <w:noWrap/>
            <w:vAlign w:val="center"/>
            <w:hideMark/>
          </w:tcPr>
          <w:p w14:paraId="474B8E0F" w14:textId="77777777" w:rsidR="0018258B" w:rsidRPr="001937FE" w:rsidRDefault="0018258B" w:rsidP="00E244D1">
            <w:pPr>
              <w:spacing w:after="0" w:line="240" w:lineRule="auto"/>
              <w:jc w:val="center"/>
              <w:rPr>
                <w:rFonts w:ascii="Times New Roman" w:eastAsia="Times New Roman" w:hAnsi="Times New Roman" w:cs="Times New Roman"/>
                <w:color w:val="000000"/>
                <w:sz w:val="24"/>
                <w:szCs w:val="24"/>
              </w:rPr>
            </w:pPr>
            <w:r w:rsidRPr="001937FE">
              <w:rPr>
                <w:rFonts w:ascii="Times New Roman" w:eastAsia="Times New Roman" w:hAnsi="Times New Roman" w:cs="Times New Roman"/>
                <w:color w:val="000000"/>
                <w:sz w:val="24"/>
                <w:szCs w:val="24"/>
              </w:rPr>
              <w:t>p50</w:t>
            </w:r>
          </w:p>
        </w:tc>
        <w:tc>
          <w:tcPr>
            <w:tcW w:w="1031" w:type="dxa"/>
            <w:gridSpan w:val="3"/>
            <w:tcBorders>
              <w:top w:val="nil"/>
              <w:left w:val="nil"/>
              <w:bottom w:val="single" w:sz="8" w:space="0" w:color="auto"/>
              <w:right w:val="nil"/>
            </w:tcBorders>
            <w:shd w:val="clear" w:color="auto" w:fill="auto"/>
            <w:noWrap/>
            <w:vAlign w:val="center"/>
            <w:hideMark/>
          </w:tcPr>
          <w:p w14:paraId="3895A852" w14:textId="77777777" w:rsidR="0018258B" w:rsidRPr="001937FE" w:rsidRDefault="0018258B" w:rsidP="00E244D1">
            <w:pPr>
              <w:spacing w:after="0" w:line="240" w:lineRule="auto"/>
              <w:jc w:val="center"/>
              <w:rPr>
                <w:rFonts w:ascii="Times New Roman" w:eastAsia="Times New Roman" w:hAnsi="Times New Roman" w:cs="Times New Roman"/>
                <w:color w:val="000000"/>
                <w:sz w:val="24"/>
                <w:szCs w:val="24"/>
              </w:rPr>
            </w:pPr>
            <w:r w:rsidRPr="001937FE">
              <w:rPr>
                <w:rFonts w:ascii="Times New Roman" w:eastAsia="Times New Roman" w:hAnsi="Times New Roman" w:cs="Times New Roman"/>
                <w:color w:val="000000"/>
                <w:sz w:val="24"/>
                <w:szCs w:val="24"/>
              </w:rPr>
              <w:t>p75</w:t>
            </w:r>
          </w:p>
        </w:tc>
        <w:tc>
          <w:tcPr>
            <w:tcW w:w="1031" w:type="dxa"/>
            <w:gridSpan w:val="4"/>
            <w:tcBorders>
              <w:top w:val="nil"/>
              <w:left w:val="nil"/>
              <w:bottom w:val="single" w:sz="8" w:space="0" w:color="auto"/>
              <w:right w:val="nil"/>
            </w:tcBorders>
            <w:shd w:val="clear" w:color="auto" w:fill="auto"/>
            <w:noWrap/>
            <w:vAlign w:val="center"/>
            <w:hideMark/>
          </w:tcPr>
          <w:p w14:paraId="60672795" w14:textId="77777777" w:rsidR="0018258B" w:rsidRPr="001937FE" w:rsidRDefault="0018258B" w:rsidP="00E244D1">
            <w:pPr>
              <w:spacing w:after="0" w:line="240" w:lineRule="auto"/>
              <w:jc w:val="center"/>
              <w:rPr>
                <w:rFonts w:ascii="Times New Roman" w:eastAsia="Times New Roman" w:hAnsi="Times New Roman" w:cs="Times New Roman"/>
                <w:color w:val="000000"/>
                <w:sz w:val="24"/>
                <w:szCs w:val="24"/>
              </w:rPr>
            </w:pPr>
            <w:r w:rsidRPr="001937FE">
              <w:rPr>
                <w:rFonts w:ascii="Times New Roman" w:eastAsia="Times New Roman" w:hAnsi="Times New Roman" w:cs="Times New Roman"/>
                <w:color w:val="000000"/>
                <w:sz w:val="24"/>
                <w:szCs w:val="24"/>
              </w:rPr>
              <w:t>p90</w:t>
            </w:r>
          </w:p>
        </w:tc>
        <w:tc>
          <w:tcPr>
            <w:tcW w:w="1032" w:type="dxa"/>
            <w:tcBorders>
              <w:top w:val="nil"/>
              <w:left w:val="nil"/>
              <w:bottom w:val="single" w:sz="8" w:space="0" w:color="auto"/>
              <w:right w:val="nil"/>
            </w:tcBorders>
            <w:shd w:val="clear" w:color="auto" w:fill="auto"/>
            <w:noWrap/>
            <w:vAlign w:val="center"/>
            <w:hideMark/>
          </w:tcPr>
          <w:p w14:paraId="70665824" w14:textId="77777777" w:rsidR="0018258B" w:rsidRPr="001937FE" w:rsidRDefault="0018258B" w:rsidP="00E244D1">
            <w:pPr>
              <w:spacing w:after="0" w:line="240" w:lineRule="auto"/>
              <w:jc w:val="center"/>
              <w:rPr>
                <w:rFonts w:ascii="Times New Roman" w:eastAsia="Times New Roman" w:hAnsi="Times New Roman" w:cs="Times New Roman"/>
                <w:color w:val="000000"/>
                <w:sz w:val="24"/>
                <w:szCs w:val="24"/>
              </w:rPr>
            </w:pPr>
            <w:r w:rsidRPr="001937FE">
              <w:rPr>
                <w:rFonts w:ascii="Times New Roman" w:eastAsia="Times New Roman" w:hAnsi="Times New Roman" w:cs="Times New Roman"/>
                <w:color w:val="000000"/>
                <w:sz w:val="24"/>
                <w:szCs w:val="24"/>
              </w:rPr>
              <w:t>p99</w:t>
            </w:r>
          </w:p>
        </w:tc>
        <w:tc>
          <w:tcPr>
            <w:tcW w:w="1296" w:type="dxa"/>
            <w:gridSpan w:val="2"/>
            <w:tcBorders>
              <w:top w:val="nil"/>
              <w:left w:val="nil"/>
              <w:bottom w:val="single" w:sz="8" w:space="0" w:color="auto"/>
              <w:right w:val="nil"/>
            </w:tcBorders>
            <w:shd w:val="clear" w:color="auto" w:fill="auto"/>
            <w:vAlign w:val="center"/>
            <w:hideMark/>
          </w:tcPr>
          <w:p w14:paraId="21505531" w14:textId="77777777" w:rsidR="0018258B" w:rsidRPr="001937FE" w:rsidRDefault="0018258B" w:rsidP="00E244D1">
            <w:pPr>
              <w:spacing w:after="0" w:line="240" w:lineRule="auto"/>
              <w:jc w:val="center"/>
              <w:rPr>
                <w:rFonts w:ascii="Times New Roman" w:eastAsia="Times New Roman" w:hAnsi="Times New Roman" w:cs="Times New Roman"/>
                <w:color w:val="000000"/>
                <w:sz w:val="24"/>
                <w:szCs w:val="24"/>
              </w:rPr>
            </w:pPr>
            <w:r w:rsidRPr="001937FE">
              <w:rPr>
                <w:rFonts w:ascii="Times New Roman" w:eastAsia="Times New Roman" w:hAnsi="Times New Roman" w:cs="Times New Roman"/>
                <w:color w:val="000000"/>
                <w:sz w:val="24"/>
                <w:szCs w:val="24"/>
              </w:rPr>
              <w:t>Gini Coefficient</w:t>
            </w:r>
          </w:p>
        </w:tc>
      </w:tr>
      <w:tr w:rsidR="0018258B" w:rsidRPr="001937FE" w14:paraId="025E82B1" w14:textId="77777777" w:rsidTr="0018258B">
        <w:trPr>
          <w:gridAfter w:val="2"/>
          <w:wAfter w:w="706" w:type="dxa"/>
          <w:trHeight w:val="290"/>
        </w:trPr>
        <w:tc>
          <w:tcPr>
            <w:tcW w:w="2970" w:type="dxa"/>
            <w:tcBorders>
              <w:top w:val="nil"/>
              <w:left w:val="nil"/>
              <w:right w:val="nil"/>
            </w:tcBorders>
            <w:shd w:val="clear" w:color="auto" w:fill="auto"/>
            <w:noWrap/>
            <w:vAlign w:val="bottom"/>
            <w:hideMark/>
          </w:tcPr>
          <w:p w14:paraId="4DD22615" w14:textId="77777777" w:rsidR="0018258B" w:rsidRPr="001937FE" w:rsidRDefault="0018258B" w:rsidP="00E244D1">
            <w:pPr>
              <w:spacing w:after="0" w:line="240" w:lineRule="auto"/>
              <w:jc w:val="center"/>
              <w:rPr>
                <w:rFonts w:ascii="Times New Roman" w:eastAsia="Times New Roman" w:hAnsi="Times New Roman" w:cs="Times New Roman"/>
                <w:color w:val="000000"/>
                <w:sz w:val="24"/>
                <w:szCs w:val="24"/>
              </w:rPr>
            </w:pPr>
          </w:p>
        </w:tc>
        <w:tc>
          <w:tcPr>
            <w:tcW w:w="900" w:type="dxa"/>
            <w:tcBorders>
              <w:top w:val="nil"/>
              <w:left w:val="nil"/>
              <w:right w:val="nil"/>
            </w:tcBorders>
            <w:shd w:val="clear" w:color="auto" w:fill="auto"/>
            <w:noWrap/>
            <w:vAlign w:val="bottom"/>
            <w:hideMark/>
          </w:tcPr>
          <w:p w14:paraId="120BE200" w14:textId="77777777" w:rsidR="0018258B" w:rsidRPr="001937FE" w:rsidRDefault="0018258B" w:rsidP="00E244D1">
            <w:pPr>
              <w:spacing w:after="0" w:line="240" w:lineRule="auto"/>
              <w:rPr>
                <w:rFonts w:ascii="Times New Roman" w:eastAsia="Times New Roman" w:hAnsi="Times New Roman" w:cs="Times New Roman"/>
                <w:sz w:val="20"/>
                <w:szCs w:val="20"/>
              </w:rPr>
            </w:pPr>
          </w:p>
        </w:tc>
        <w:tc>
          <w:tcPr>
            <w:tcW w:w="1620" w:type="dxa"/>
            <w:gridSpan w:val="2"/>
            <w:tcBorders>
              <w:top w:val="nil"/>
              <w:left w:val="nil"/>
              <w:right w:val="nil"/>
            </w:tcBorders>
            <w:shd w:val="clear" w:color="auto" w:fill="auto"/>
            <w:noWrap/>
            <w:vAlign w:val="bottom"/>
            <w:hideMark/>
          </w:tcPr>
          <w:p w14:paraId="6CE9E2D4" w14:textId="77777777" w:rsidR="0018258B" w:rsidRPr="001937FE" w:rsidRDefault="0018258B" w:rsidP="00E244D1">
            <w:pPr>
              <w:spacing w:after="0" w:line="240" w:lineRule="auto"/>
              <w:rPr>
                <w:rFonts w:ascii="Times New Roman" w:eastAsia="Times New Roman" w:hAnsi="Times New Roman" w:cs="Times New Roman"/>
                <w:sz w:val="20"/>
                <w:szCs w:val="20"/>
              </w:rPr>
            </w:pPr>
          </w:p>
        </w:tc>
        <w:tc>
          <w:tcPr>
            <w:tcW w:w="1031" w:type="dxa"/>
            <w:gridSpan w:val="3"/>
            <w:tcBorders>
              <w:top w:val="nil"/>
              <w:left w:val="nil"/>
              <w:right w:val="nil"/>
            </w:tcBorders>
            <w:shd w:val="clear" w:color="auto" w:fill="auto"/>
            <w:noWrap/>
            <w:vAlign w:val="bottom"/>
            <w:hideMark/>
          </w:tcPr>
          <w:p w14:paraId="63AFCE22" w14:textId="77777777" w:rsidR="0018258B" w:rsidRPr="001937FE" w:rsidRDefault="0018258B" w:rsidP="00E244D1">
            <w:pPr>
              <w:spacing w:after="0" w:line="240" w:lineRule="auto"/>
              <w:rPr>
                <w:rFonts w:ascii="Times New Roman" w:eastAsia="Times New Roman" w:hAnsi="Times New Roman" w:cs="Times New Roman"/>
                <w:sz w:val="20"/>
                <w:szCs w:val="20"/>
              </w:rPr>
            </w:pPr>
          </w:p>
        </w:tc>
        <w:tc>
          <w:tcPr>
            <w:tcW w:w="1031" w:type="dxa"/>
            <w:gridSpan w:val="5"/>
            <w:tcBorders>
              <w:top w:val="nil"/>
              <w:left w:val="nil"/>
              <w:right w:val="nil"/>
            </w:tcBorders>
            <w:shd w:val="clear" w:color="auto" w:fill="auto"/>
            <w:noWrap/>
            <w:vAlign w:val="bottom"/>
            <w:hideMark/>
          </w:tcPr>
          <w:p w14:paraId="6A83D693" w14:textId="77777777" w:rsidR="0018258B" w:rsidRPr="001937FE" w:rsidRDefault="0018258B" w:rsidP="00E244D1">
            <w:pPr>
              <w:spacing w:after="0" w:line="240" w:lineRule="auto"/>
              <w:rPr>
                <w:rFonts w:ascii="Times New Roman" w:eastAsia="Times New Roman" w:hAnsi="Times New Roman" w:cs="Times New Roman"/>
                <w:sz w:val="20"/>
                <w:szCs w:val="20"/>
              </w:rPr>
            </w:pPr>
          </w:p>
        </w:tc>
        <w:tc>
          <w:tcPr>
            <w:tcW w:w="1032" w:type="dxa"/>
            <w:gridSpan w:val="4"/>
            <w:tcBorders>
              <w:top w:val="nil"/>
              <w:left w:val="nil"/>
              <w:right w:val="nil"/>
            </w:tcBorders>
            <w:shd w:val="clear" w:color="auto" w:fill="auto"/>
            <w:noWrap/>
            <w:vAlign w:val="bottom"/>
            <w:hideMark/>
          </w:tcPr>
          <w:p w14:paraId="5ECBB8A4" w14:textId="77777777" w:rsidR="0018258B" w:rsidRPr="001937FE" w:rsidRDefault="0018258B" w:rsidP="00E244D1">
            <w:pPr>
              <w:spacing w:after="0" w:line="240" w:lineRule="auto"/>
              <w:rPr>
                <w:rFonts w:ascii="Times New Roman" w:eastAsia="Times New Roman" w:hAnsi="Times New Roman" w:cs="Times New Roman"/>
                <w:sz w:val="20"/>
                <w:szCs w:val="20"/>
              </w:rPr>
            </w:pPr>
          </w:p>
        </w:tc>
        <w:tc>
          <w:tcPr>
            <w:tcW w:w="1031" w:type="dxa"/>
            <w:gridSpan w:val="3"/>
            <w:tcBorders>
              <w:top w:val="nil"/>
              <w:left w:val="nil"/>
              <w:right w:val="nil"/>
            </w:tcBorders>
            <w:shd w:val="clear" w:color="auto" w:fill="auto"/>
            <w:noWrap/>
            <w:vAlign w:val="bottom"/>
            <w:hideMark/>
          </w:tcPr>
          <w:p w14:paraId="4877535B" w14:textId="77777777" w:rsidR="0018258B" w:rsidRPr="001937FE" w:rsidRDefault="0018258B" w:rsidP="00E244D1">
            <w:pPr>
              <w:spacing w:after="0" w:line="240" w:lineRule="auto"/>
              <w:rPr>
                <w:rFonts w:ascii="Times New Roman" w:eastAsia="Times New Roman" w:hAnsi="Times New Roman" w:cs="Times New Roman"/>
                <w:sz w:val="20"/>
                <w:szCs w:val="20"/>
              </w:rPr>
            </w:pPr>
          </w:p>
        </w:tc>
        <w:tc>
          <w:tcPr>
            <w:tcW w:w="1031" w:type="dxa"/>
            <w:gridSpan w:val="4"/>
            <w:tcBorders>
              <w:top w:val="nil"/>
              <w:left w:val="nil"/>
              <w:right w:val="nil"/>
            </w:tcBorders>
            <w:shd w:val="clear" w:color="auto" w:fill="auto"/>
            <w:noWrap/>
            <w:vAlign w:val="bottom"/>
            <w:hideMark/>
          </w:tcPr>
          <w:p w14:paraId="24C5937E" w14:textId="77777777" w:rsidR="0018258B" w:rsidRPr="001937FE" w:rsidRDefault="0018258B" w:rsidP="00E244D1">
            <w:pPr>
              <w:spacing w:after="0" w:line="240" w:lineRule="auto"/>
              <w:rPr>
                <w:rFonts w:ascii="Times New Roman" w:eastAsia="Times New Roman" w:hAnsi="Times New Roman" w:cs="Times New Roman"/>
                <w:sz w:val="20"/>
                <w:szCs w:val="20"/>
              </w:rPr>
            </w:pPr>
          </w:p>
        </w:tc>
        <w:tc>
          <w:tcPr>
            <w:tcW w:w="1032" w:type="dxa"/>
            <w:tcBorders>
              <w:top w:val="nil"/>
              <w:left w:val="nil"/>
              <w:right w:val="nil"/>
            </w:tcBorders>
            <w:shd w:val="clear" w:color="auto" w:fill="auto"/>
            <w:noWrap/>
            <w:vAlign w:val="bottom"/>
            <w:hideMark/>
          </w:tcPr>
          <w:p w14:paraId="4AB7FC8C" w14:textId="77777777" w:rsidR="0018258B" w:rsidRPr="001937FE" w:rsidRDefault="0018258B" w:rsidP="00E244D1">
            <w:pPr>
              <w:spacing w:after="0" w:line="240" w:lineRule="auto"/>
              <w:rPr>
                <w:rFonts w:ascii="Times New Roman" w:eastAsia="Times New Roman" w:hAnsi="Times New Roman" w:cs="Times New Roman"/>
                <w:sz w:val="20"/>
                <w:szCs w:val="20"/>
              </w:rPr>
            </w:pPr>
          </w:p>
        </w:tc>
        <w:tc>
          <w:tcPr>
            <w:tcW w:w="1296" w:type="dxa"/>
            <w:gridSpan w:val="2"/>
            <w:tcBorders>
              <w:top w:val="nil"/>
              <w:left w:val="nil"/>
              <w:right w:val="nil"/>
            </w:tcBorders>
            <w:shd w:val="clear" w:color="auto" w:fill="auto"/>
            <w:noWrap/>
            <w:vAlign w:val="bottom"/>
            <w:hideMark/>
          </w:tcPr>
          <w:p w14:paraId="0F607468" w14:textId="77777777" w:rsidR="0018258B" w:rsidRPr="001937FE" w:rsidRDefault="0018258B" w:rsidP="00E244D1">
            <w:pPr>
              <w:spacing w:after="0" w:line="240" w:lineRule="auto"/>
              <w:rPr>
                <w:rFonts w:ascii="Times New Roman" w:eastAsia="Times New Roman" w:hAnsi="Times New Roman" w:cs="Times New Roman"/>
                <w:sz w:val="20"/>
                <w:szCs w:val="20"/>
              </w:rPr>
            </w:pPr>
          </w:p>
        </w:tc>
      </w:tr>
      <w:tr w:rsidR="0018258B" w:rsidRPr="001937FE" w14:paraId="6931CD3B" w14:textId="77777777" w:rsidTr="0018258B">
        <w:trPr>
          <w:gridAfter w:val="2"/>
          <w:wAfter w:w="706" w:type="dxa"/>
          <w:trHeight w:val="300"/>
        </w:trPr>
        <w:tc>
          <w:tcPr>
            <w:tcW w:w="5490" w:type="dxa"/>
            <w:gridSpan w:val="4"/>
            <w:shd w:val="clear" w:color="auto" w:fill="auto"/>
            <w:noWrap/>
            <w:vAlign w:val="center"/>
          </w:tcPr>
          <w:p w14:paraId="7EC869A8" w14:textId="77777777" w:rsidR="0018258B" w:rsidRPr="001937FE" w:rsidRDefault="0018258B" w:rsidP="00E244D1">
            <w:pPr>
              <w:spacing w:after="0" w:line="240" w:lineRule="auto"/>
              <w:rPr>
                <w:rFonts w:ascii="Times New Roman" w:eastAsia="Times New Roman" w:hAnsi="Times New Roman" w:cs="Times New Roman"/>
                <w:b/>
                <w:bCs/>
                <w:color w:val="000000"/>
                <w:sz w:val="24"/>
                <w:szCs w:val="24"/>
              </w:rPr>
            </w:pPr>
            <w:r w:rsidRPr="001937FE">
              <w:rPr>
                <w:rFonts w:ascii="Times New Roman" w:eastAsia="Times New Roman" w:hAnsi="Times New Roman" w:cs="Times New Roman"/>
                <w:b/>
                <w:bCs/>
                <w:color w:val="000000"/>
                <w:sz w:val="24"/>
                <w:szCs w:val="24"/>
              </w:rPr>
              <w:t xml:space="preserve">Panel A: </w:t>
            </w:r>
            <w:r>
              <w:rPr>
                <w:rFonts w:ascii="Times New Roman" w:eastAsia="Times New Roman" w:hAnsi="Times New Roman" w:cs="Times New Roman"/>
                <w:b/>
                <w:bCs/>
                <w:color w:val="000000"/>
                <w:sz w:val="24"/>
                <w:szCs w:val="24"/>
              </w:rPr>
              <w:t>2018 Baseline</w:t>
            </w:r>
          </w:p>
        </w:tc>
        <w:tc>
          <w:tcPr>
            <w:tcW w:w="1031" w:type="dxa"/>
            <w:gridSpan w:val="3"/>
            <w:shd w:val="clear" w:color="auto" w:fill="auto"/>
            <w:noWrap/>
            <w:vAlign w:val="bottom"/>
          </w:tcPr>
          <w:p w14:paraId="698A5C6D" w14:textId="77777777" w:rsidR="0018258B" w:rsidRPr="001937FE" w:rsidRDefault="0018258B" w:rsidP="00E244D1">
            <w:pPr>
              <w:spacing w:after="0" w:line="240" w:lineRule="auto"/>
              <w:rPr>
                <w:rFonts w:ascii="Times New Roman" w:eastAsia="Times New Roman" w:hAnsi="Times New Roman" w:cs="Times New Roman"/>
                <w:b/>
                <w:bCs/>
                <w:color w:val="000000"/>
                <w:sz w:val="24"/>
                <w:szCs w:val="24"/>
              </w:rPr>
            </w:pPr>
          </w:p>
        </w:tc>
        <w:tc>
          <w:tcPr>
            <w:tcW w:w="1031" w:type="dxa"/>
            <w:gridSpan w:val="5"/>
            <w:shd w:val="clear" w:color="auto" w:fill="auto"/>
            <w:noWrap/>
            <w:vAlign w:val="bottom"/>
          </w:tcPr>
          <w:p w14:paraId="7C089EE1" w14:textId="77777777" w:rsidR="0018258B" w:rsidRPr="001937FE" w:rsidRDefault="0018258B" w:rsidP="00E244D1">
            <w:pPr>
              <w:spacing w:after="0" w:line="240" w:lineRule="auto"/>
              <w:rPr>
                <w:rFonts w:ascii="Times New Roman" w:eastAsia="Times New Roman" w:hAnsi="Times New Roman" w:cs="Times New Roman"/>
                <w:sz w:val="20"/>
                <w:szCs w:val="20"/>
              </w:rPr>
            </w:pPr>
          </w:p>
        </w:tc>
        <w:tc>
          <w:tcPr>
            <w:tcW w:w="1032" w:type="dxa"/>
            <w:gridSpan w:val="4"/>
            <w:shd w:val="clear" w:color="auto" w:fill="auto"/>
            <w:noWrap/>
            <w:vAlign w:val="bottom"/>
          </w:tcPr>
          <w:p w14:paraId="71C42368" w14:textId="77777777" w:rsidR="0018258B" w:rsidRPr="001937FE" w:rsidRDefault="0018258B" w:rsidP="00E244D1">
            <w:pPr>
              <w:spacing w:after="0" w:line="240" w:lineRule="auto"/>
              <w:rPr>
                <w:rFonts w:ascii="Times New Roman" w:eastAsia="Times New Roman" w:hAnsi="Times New Roman" w:cs="Times New Roman"/>
                <w:sz w:val="20"/>
                <w:szCs w:val="20"/>
              </w:rPr>
            </w:pPr>
          </w:p>
        </w:tc>
        <w:tc>
          <w:tcPr>
            <w:tcW w:w="1031" w:type="dxa"/>
            <w:gridSpan w:val="3"/>
            <w:shd w:val="clear" w:color="auto" w:fill="auto"/>
            <w:noWrap/>
            <w:vAlign w:val="bottom"/>
          </w:tcPr>
          <w:p w14:paraId="0C8F4EC9" w14:textId="77777777" w:rsidR="0018258B" w:rsidRPr="001937FE" w:rsidRDefault="0018258B" w:rsidP="00E244D1">
            <w:pPr>
              <w:spacing w:after="0" w:line="240" w:lineRule="auto"/>
              <w:rPr>
                <w:rFonts w:ascii="Times New Roman" w:eastAsia="Times New Roman" w:hAnsi="Times New Roman" w:cs="Times New Roman"/>
                <w:sz w:val="20"/>
                <w:szCs w:val="20"/>
              </w:rPr>
            </w:pPr>
          </w:p>
        </w:tc>
        <w:tc>
          <w:tcPr>
            <w:tcW w:w="1031" w:type="dxa"/>
            <w:gridSpan w:val="4"/>
            <w:shd w:val="clear" w:color="auto" w:fill="auto"/>
            <w:noWrap/>
            <w:vAlign w:val="bottom"/>
          </w:tcPr>
          <w:p w14:paraId="70CE2E30" w14:textId="77777777" w:rsidR="0018258B" w:rsidRPr="001937FE" w:rsidRDefault="0018258B" w:rsidP="00E244D1">
            <w:pPr>
              <w:spacing w:after="0" w:line="240" w:lineRule="auto"/>
              <w:rPr>
                <w:rFonts w:ascii="Times New Roman" w:eastAsia="Times New Roman" w:hAnsi="Times New Roman" w:cs="Times New Roman"/>
                <w:sz w:val="20"/>
                <w:szCs w:val="20"/>
              </w:rPr>
            </w:pPr>
          </w:p>
        </w:tc>
        <w:tc>
          <w:tcPr>
            <w:tcW w:w="1032" w:type="dxa"/>
            <w:shd w:val="clear" w:color="auto" w:fill="auto"/>
            <w:noWrap/>
            <w:vAlign w:val="bottom"/>
          </w:tcPr>
          <w:p w14:paraId="30CED7FB" w14:textId="77777777" w:rsidR="0018258B" w:rsidRPr="001937FE" w:rsidRDefault="0018258B" w:rsidP="00E244D1">
            <w:pPr>
              <w:spacing w:after="0" w:line="240" w:lineRule="auto"/>
              <w:rPr>
                <w:rFonts w:ascii="Times New Roman" w:eastAsia="Times New Roman" w:hAnsi="Times New Roman" w:cs="Times New Roman"/>
                <w:sz w:val="20"/>
                <w:szCs w:val="20"/>
              </w:rPr>
            </w:pPr>
          </w:p>
        </w:tc>
        <w:tc>
          <w:tcPr>
            <w:tcW w:w="1296" w:type="dxa"/>
            <w:gridSpan w:val="2"/>
            <w:shd w:val="clear" w:color="auto" w:fill="auto"/>
            <w:noWrap/>
            <w:vAlign w:val="bottom"/>
          </w:tcPr>
          <w:p w14:paraId="0A408B6F" w14:textId="77777777" w:rsidR="0018258B" w:rsidRPr="001937FE" w:rsidRDefault="0018258B" w:rsidP="00E244D1">
            <w:pPr>
              <w:spacing w:after="0" w:line="240" w:lineRule="auto"/>
              <w:rPr>
                <w:rFonts w:ascii="Times New Roman" w:eastAsia="Times New Roman" w:hAnsi="Times New Roman" w:cs="Times New Roman"/>
                <w:sz w:val="20"/>
                <w:szCs w:val="20"/>
              </w:rPr>
            </w:pPr>
          </w:p>
        </w:tc>
      </w:tr>
      <w:tr w:rsidR="0018258B" w:rsidRPr="001937FE" w14:paraId="1BFD2B3B" w14:textId="77777777" w:rsidTr="0018258B">
        <w:trPr>
          <w:gridAfter w:val="2"/>
          <w:wAfter w:w="706" w:type="dxa"/>
          <w:trHeight w:val="300"/>
        </w:trPr>
        <w:tc>
          <w:tcPr>
            <w:tcW w:w="2970" w:type="dxa"/>
            <w:shd w:val="clear" w:color="auto" w:fill="auto"/>
            <w:noWrap/>
            <w:vAlign w:val="center"/>
          </w:tcPr>
          <w:p w14:paraId="369B3B35" w14:textId="77777777" w:rsidR="0018258B" w:rsidRPr="001937FE" w:rsidRDefault="0018258B" w:rsidP="00E244D1">
            <w:pPr>
              <w:spacing w:after="0" w:line="240" w:lineRule="auto"/>
              <w:rPr>
                <w:rFonts w:ascii="Times New Roman" w:eastAsia="Times New Roman" w:hAnsi="Times New Roman" w:cs="Times New Roman"/>
                <w:b/>
                <w:bCs/>
                <w:color w:val="000000"/>
                <w:sz w:val="24"/>
                <w:szCs w:val="24"/>
              </w:rPr>
            </w:pPr>
            <w:r w:rsidRPr="001937FE">
              <w:rPr>
                <w:rFonts w:ascii="Times New Roman" w:eastAsia="Times New Roman" w:hAnsi="Times New Roman" w:cs="Times New Roman"/>
                <w:i/>
                <w:iCs/>
                <w:color w:val="000000"/>
                <w:sz w:val="24"/>
                <w:szCs w:val="24"/>
              </w:rPr>
              <w:t xml:space="preserve">     FTFY Men and Women</w:t>
            </w:r>
          </w:p>
        </w:tc>
        <w:tc>
          <w:tcPr>
            <w:tcW w:w="900" w:type="dxa"/>
            <w:shd w:val="clear" w:color="auto" w:fill="auto"/>
            <w:vAlign w:val="center"/>
          </w:tcPr>
          <w:p w14:paraId="7C3B33DF" w14:textId="77777777" w:rsidR="0018258B" w:rsidRPr="009C4302" w:rsidRDefault="0018258B" w:rsidP="00E244D1">
            <w:pPr>
              <w:spacing w:after="0" w:line="240" w:lineRule="auto"/>
              <w:rPr>
                <w:rFonts w:ascii="Times New Roman" w:eastAsia="Times New Roman" w:hAnsi="Times New Roman" w:cs="Times New Roman"/>
                <w:b/>
                <w:bCs/>
                <w:color w:val="000000"/>
                <w:sz w:val="24"/>
                <w:szCs w:val="24"/>
              </w:rPr>
            </w:pPr>
            <w:r w:rsidRPr="009C4302">
              <w:rPr>
                <w:rFonts w:ascii="Times New Roman" w:eastAsia="Times New Roman" w:hAnsi="Times New Roman" w:cs="Times New Roman"/>
                <w:color w:val="000000"/>
                <w:sz w:val="24"/>
                <w:szCs w:val="24"/>
              </w:rPr>
              <w:t>10.9%</w:t>
            </w:r>
          </w:p>
        </w:tc>
        <w:tc>
          <w:tcPr>
            <w:tcW w:w="1620" w:type="dxa"/>
            <w:gridSpan w:val="2"/>
            <w:shd w:val="clear" w:color="auto" w:fill="auto"/>
            <w:vAlign w:val="center"/>
          </w:tcPr>
          <w:p w14:paraId="0641E721" w14:textId="77777777" w:rsidR="0018258B" w:rsidRPr="009C4302" w:rsidRDefault="0018258B" w:rsidP="00E244D1">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45</w:t>
            </w:r>
            <w:r w:rsidRPr="009C430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w:t>
            </w:r>
            <w:r w:rsidRPr="009C4302">
              <w:rPr>
                <w:rFonts w:ascii="Times New Roman" w:eastAsia="Times New Roman" w:hAnsi="Times New Roman" w:cs="Times New Roman"/>
                <w:color w:val="000000"/>
                <w:sz w:val="24"/>
                <w:szCs w:val="24"/>
              </w:rPr>
              <w:t>%</w:t>
            </w:r>
          </w:p>
        </w:tc>
        <w:tc>
          <w:tcPr>
            <w:tcW w:w="1031" w:type="dxa"/>
            <w:gridSpan w:val="3"/>
            <w:shd w:val="clear" w:color="auto" w:fill="auto"/>
            <w:noWrap/>
            <w:vAlign w:val="center"/>
          </w:tcPr>
          <w:p w14:paraId="294C8CDF" w14:textId="77777777" w:rsidR="0018258B" w:rsidRPr="001937FE" w:rsidRDefault="0018258B" w:rsidP="00E244D1">
            <w:pPr>
              <w:spacing w:after="0" w:line="240" w:lineRule="auto"/>
              <w:jc w:val="right"/>
              <w:rPr>
                <w:rFonts w:ascii="Times New Roman" w:eastAsia="Times New Roman" w:hAnsi="Times New Roman" w:cs="Times New Roman"/>
                <w:b/>
                <w:bCs/>
                <w:color w:val="000000"/>
                <w:sz w:val="24"/>
                <w:szCs w:val="24"/>
              </w:rPr>
            </w:pPr>
            <w:r>
              <w:rPr>
                <w:rFonts w:ascii="Times New Roman" w:hAnsi="Times New Roman" w:cs="Times New Roman"/>
                <w:color w:val="000000"/>
                <w:sz w:val="24"/>
                <w:szCs w:val="24"/>
              </w:rPr>
              <w:t>22,000</w:t>
            </w:r>
          </w:p>
        </w:tc>
        <w:tc>
          <w:tcPr>
            <w:tcW w:w="1031" w:type="dxa"/>
            <w:gridSpan w:val="5"/>
            <w:shd w:val="clear" w:color="auto" w:fill="auto"/>
            <w:noWrap/>
            <w:vAlign w:val="center"/>
          </w:tcPr>
          <w:p w14:paraId="78C4FD1B" w14:textId="148D3799" w:rsidR="0018258B" w:rsidRPr="001937FE" w:rsidRDefault="000913C8" w:rsidP="00E244D1">
            <w:pPr>
              <w:spacing w:after="0" w:line="240" w:lineRule="auto"/>
              <w:jc w:val="right"/>
              <w:rPr>
                <w:rFonts w:ascii="Times New Roman" w:eastAsia="Times New Roman" w:hAnsi="Times New Roman" w:cs="Times New Roman"/>
                <w:sz w:val="20"/>
                <w:szCs w:val="20"/>
              </w:rPr>
            </w:pPr>
            <w:r w:rsidRPr="00F5540F">
              <w:rPr>
                <w:rFonts w:ascii="Times New Roman" w:hAnsi="Times New Roman" w:cs="Times New Roman"/>
                <w:color w:val="000000"/>
                <w:sz w:val="24"/>
                <w:szCs w:val="24"/>
              </w:rPr>
              <w:t>3</w:t>
            </w:r>
            <w:r>
              <w:rPr>
                <w:rFonts w:ascii="Times New Roman" w:hAnsi="Times New Roman" w:cs="Times New Roman"/>
                <w:color w:val="000000"/>
                <w:sz w:val="24"/>
                <w:szCs w:val="24"/>
              </w:rPr>
              <w:t>2</w:t>
            </w:r>
            <w:r w:rsidR="0018258B" w:rsidRPr="00F5540F">
              <w:rPr>
                <w:rFonts w:ascii="Times New Roman" w:hAnsi="Times New Roman" w:cs="Times New Roman"/>
                <w:color w:val="000000"/>
                <w:sz w:val="24"/>
                <w:szCs w:val="24"/>
              </w:rPr>
              <w:t>,0</w:t>
            </w:r>
            <w:r w:rsidR="0018258B">
              <w:rPr>
                <w:rFonts w:ascii="Times New Roman" w:hAnsi="Times New Roman" w:cs="Times New Roman"/>
                <w:color w:val="000000"/>
                <w:sz w:val="24"/>
                <w:szCs w:val="24"/>
              </w:rPr>
              <w:t>00</w:t>
            </w:r>
          </w:p>
        </w:tc>
        <w:tc>
          <w:tcPr>
            <w:tcW w:w="1032" w:type="dxa"/>
            <w:gridSpan w:val="4"/>
            <w:shd w:val="clear" w:color="auto" w:fill="auto"/>
            <w:noWrap/>
            <w:vAlign w:val="center"/>
          </w:tcPr>
          <w:p w14:paraId="382EFA8E" w14:textId="77777777" w:rsidR="0018258B" w:rsidRPr="001937FE" w:rsidRDefault="0018258B" w:rsidP="00E244D1">
            <w:pPr>
              <w:spacing w:after="0" w:line="240" w:lineRule="auto"/>
              <w:jc w:val="right"/>
              <w:rPr>
                <w:rFonts w:ascii="Times New Roman" w:eastAsia="Times New Roman" w:hAnsi="Times New Roman" w:cs="Times New Roman"/>
                <w:sz w:val="20"/>
                <w:szCs w:val="20"/>
              </w:rPr>
            </w:pPr>
            <w:r w:rsidRPr="00F5540F">
              <w:rPr>
                <w:rFonts w:ascii="Times New Roman" w:hAnsi="Times New Roman" w:cs="Times New Roman"/>
                <w:color w:val="000000"/>
                <w:sz w:val="24"/>
                <w:szCs w:val="24"/>
              </w:rPr>
              <w:t>5</w:t>
            </w:r>
            <w:r>
              <w:rPr>
                <w:rFonts w:ascii="Times New Roman" w:hAnsi="Times New Roman" w:cs="Times New Roman"/>
                <w:color w:val="000000"/>
                <w:sz w:val="24"/>
                <w:szCs w:val="24"/>
              </w:rPr>
              <w:t>0</w:t>
            </w:r>
            <w:r w:rsidRPr="00F5540F">
              <w:rPr>
                <w:rFonts w:ascii="Times New Roman" w:hAnsi="Times New Roman" w:cs="Times New Roman"/>
                <w:color w:val="000000"/>
                <w:sz w:val="24"/>
                <w:szCs w:val="24"/>
              </w:rPr>
              <w:t>,</w:t>
            </w:r>
            <w:r>
              <w:rPr>
                <w:rFonts w:ascii="Times New Roman" w:hAnsi="Times New Roman" w:cs="Times New Roman"/>
                <w:color w:val="000000"/>
                <w:sz w:val="24"/>
                <w:szCs w:val="24"/>
              </w:rPr>
              <w:t>000</w:t>
            </w:r>
          </w:p>
        </w:tc>
        <w:tc>
          <w:tcPr>
            <w:tcW w:w="1031" w:type="dxa"/>
            <w:gridSpan w:val="3"/>
            <w:shd w:val="clear" w:color="auto" w:fill="auto"/>
            <w:noWrap/>
            <w:vAlign w:val="center"/>
          </w:tcPr>
          <w:p w14:paraId="7D4EFC43" w14:textId="77777777" w:rsidR="0018258B" w:rsidRPr="001937FE" w:rsidRDefault="0018258B" w:rsidP="00E244D1">
            <w:pPr>
              <w:spacing w:after="0" w:line="240" w:lineRule="auto"/>
              <w:jc w:val="right"/>
              <w:rPr>
                <w:rFonts w:ascii="Times New Roman" w:eastAsia="Times New Roman" w:hAnsi="Times New Roman" w:cs="Times New Roman"/>
                <w:sz w:val="20"/>
                <w:szCs w:val="20"/>
              </w:rPr>
            </w:pPr>
            <w:r w:rsidRPr="00F5540F">
              <w:rPr>
                <w:rFonts w:ascii="Times New Roman" w:hAnsi="Times New Roman" w:cs="Times New Roman"/>
                <w:color w:val="000000"/>
                <w:sz w:val="24"/>
                <w:szCs w:val="24"/>
              </w:rPr>
              <w:t>7</w:t>
            </w:r>
            <w:r>
              <w:rPr>
                <w:rFonts w:ascii="Times New Roman" w:hAnsi="Times New Roman" w:cs="Times New Roman"/>
                <w:color w:val="000000"/>
                <w:sz w:val="24"/>
                <w:szCs w:val="24"/>
              </w:rPr>
              <w:t>8</w:t>
            </w:r>
            <w:r w:rsidRPr="00F5540F">
              <w:rPr>
                <w:rFonts w:ascii="Times New Roman" w:hAnsi="Times New Roman" w:cs="Times New Roman"/>
                <w:color w:val="000000"/>
                <w:sz w:val="24"/>
                <w:szCs w:val="24"/>
              </w:rPr>
              <w:t>,</w:t>
            </w:r>
            <w:r>
              <w:rPr>
                <w:rFonts w:ascii="Times New Roman" w:hAnsi="Times New Roman" w:cs="Times New Roman"/>
                <w:color w:val="000000"/>
                <w:sz w:val="24"/>
                <w:szCs w:val="24"/>
              </w:rPr>
              <w:t>000</w:t>
            </w:r>
          </w:p>
        </w:tc>
        <w:tc>
          <w:tcPr>
            <w:tcW w:w="1031" w:type="dxa"/>
            <w:gridSpan w:val="4"/>
            <w:shd w:val="clear" w:color="auto" w:fill="auto"/>
            <w:noWrap/>
            <w:vAlign w:val="center"/>
          </w:tcPr>
          <w:p w14:paraId="5A309F02" w14:textId="77777777" w:rsidR="0018258B" w:rsidRPr="001937FE" w:rsidRDefault="0018258B" w:rsidP="00E244D1">
            <w:pPr>
              <w:spacing w:after="0" w:line="240" w:lineRule="auto"/>
              <w:jc w:val="right"/>
              <w:rPr>
                <w:rFonts w:ascii="Times New Roman" w:eastAsia="Times New Roman" w:hAnsi="Times New Roman" w:cs="Times New Roman"/>
                <w:sz w:val="20"/>
                <w:szCs w:val="20"/>
              </w:rPr>
            </w:pPr>
            <w:r w:rsidRPr="00F5540F">
              <w:rPr>
                <w:rFonts w:ascii="Times New Roman" w:hAnsi="Times New Roman" w:cs="Times New Roman"/>
                <w:color w:val="000000"/>
                <w:sz w:val="24"/>
                <w:szCs w:val="24"/>
              </w:rPr>
              <w:t>12</w:t>
            </w:r>
            <w:r>
              <w:rPr>
                <w:rFonts w:ascii="Times New Roman" w:hAnsi="Times New Roman" w:cs="Times New Roman"/>
                <w:color w:val="000000"/>
                <w:sz w:val="24"/>
                <w:szCs w:val="24"/>
              </w:rPr>
              <w:t>0</w:t>
            </w:r>
            <w:r w:rsidRPr="00F5540F">
              <w:rPr>
                <w:rFonts w:ascii="Times New Roman" w:hAnsi="Times New Roman" w:cs="Times New Roman"/>
                <w:color w:val="000000"/>
                <w:sz w:val="24"/>
                <w:szCs w:val="24"/>
              </w:rPr>
              <w:t>,</w:t>
            </w:r>
            <w:r>
              <w:rPr>
                <w:rFonts w:ascii="Times New Roman" w:hAnsi="Times New Roman" w:cs="Times New Roman"/>
                <w:color w:val="000000"/>
                <w:sz w:val="24"/>
                <w:szCs w:val="24"/>
              </w:rPr>
              <w:t>0</w:t>
            </w:r>
            <w:r w:rsidRPr="00F5540F">
              <w:rPr>
                <w:rFonts w:ascii="Times New Roman" w:hAnsi="Times New Roman" w:cs="Times New Roman"/>
                <w:color w:val="000000"/>
                <w:sz w:val="24"/>
                <w:szCs w:val="24"/>
              </w:rPr>
              <w:t>00</w:t>
            </w:r>
          </w:p>
        </w:tc>
        <w:tc>
          <w:tcPr>
            <w:tcW w:w="1032" w:type="dxa"/>
            <w:shd w:val="clear" w:color="auto" w:fill="auto"/>
            <w:noWrap/>
            <w:vAlign w:val="center"/>
          </w:tcPr>
          <w:p w14:paraId="1650F58F" w14:textId="77777777" w:rsidR="0018258B" w:rsidRPr="001937FE" w:rsidRDefault="0018258B" w:rsidP="00E244D1">
            <w:pPr>
              <w:spacing w:after="0" w:line="240" w:lineRule="auto"/>
              <w:jc w:val="right"/>
              <w:rPr>
                <w:rFonts w:ascii="Times New Roman" w:eastAsia="Times New Roman" w:hAnsi="Times New Roman" w:cs="Times New Roman"/>
                <w:sz w:val="20"/>
                <w:szCs w:val="20"/>
              </w:rPr>
            </w:pPr>
            <w:r w:rsidRPr="00F5540F">
              <w:rPr>
                <w:rFonts w:ascii="Times New Roman" w:hAnsi="Times New Roman" w:cs="Times New Roman"/>
                <w:color w:val="000000"/>
                <w:sz w:val="24"/>
                <w:szCs w:val="24"/>
              </w:rPr>
              <w:t>3</w:t>
            </w:r>
            <w:r>
              <w:rPr>
                <w:rFonts w:ascii="Times New Roman" w:hAnsi="Times New Roman" w:cs="Times New Roman"/>
                <w:color w:val="000000"/>
                <w:sz w:val="24"/>
                <w:szCs w:val="24"/>
              </w:rPr>
              <w:t>20</w:t>
            </w:r>
            <w:r w:rsidRPr="00F5540F">
              <w:rPr>
                <w:rFonts w:ascii="Times New Roman" w:hAnsi="Times New Roman" w:cs="Times New Roman"/>
                <w:color w:val="000000"/>
                <w:sz w:val="24"/>
                <w:szCs w:val="24"/>
              </w:rPr>
              <w:t>,</w:t>
            </w:r>
            <w:r>
              <w:rPr>
                <w:rFonts w:ascii="Times New Roman" w:hAnsi="Times New Roman" w:cs="Times New Roman"/>
                <w:color w:val="000000"/>
                <w:sz w:val="24"/>
                <w:szCs w:val="24"/>
              </w:rPr>
              <w:t>0</w:t>
            </w:r>
            <w:r w:rsidRPr="00F5540F">
              <w:rPr>
                <w:rFonts w:ascii="Times New Roman" w:hAnsi="Times New Roman" w:cs="Times New Roman"/>
                <w:color w:val="000000"/>
                <w:sz w:val="24"/>
                <w:szCs w:val="24"/>
              </w:rPr>
              <w:t>00</w:t>
            </w:r>
          </w:p>
        </w:tc>
        <w:tc>
          <w:tcPr>
            <w:tcW w:w="1296" w:type="dxa"/>
            <w:gridSpan w:val="2"/>
            <w:shd w:val="clear" w:color="auto" w:fill="auto"/>
            <w:noWrap/>
            <w:vAlign w:val="center"/>
          </w:tcPr>
          <w:p w14:paraId="3AE91CA8" w14:textId="77777777" w:rsidR="0018258B" w:rsidRPr="001937FE" w:rsidRDefault="0018258B" w:rsidP="00E244D1">
            <w:pPr>
              <w:spacing w:after="0" w:line="240" w:lineRule="auto"/>
              <w:jc w:val="right"/>
              <w:rPr>
                <w:rFonts w:ascii="Times New Roman" w:eastAsia="Times New Roman" w:hAnsi="Times New Roman" w:cs="Times New Roman"/>
                <w:sz w:val="20"/>
                <w:szCs w:val="20"/>
              </w:rPr>
            </w:pPr>
            <w:r w:rsidRPr="00F5540F">
              <w:rPr>
                <w:rFonts w:ascii="Times New Roman" w:hAnsi="Times New Roman" w:cs="Times New Roman"/>
                <w:color w:val="000000"/>
                <w:sz w:val="24"/>
                <w:szCs w:val="24"/>
              </w:rPr>
              <w:t>0.</w:t>
            </w:r>
            <w:r>
              <w:rPr>
                <w:rFonts w:ascii="Times New Roman" w:hAnsi="Times New Roman" w:cs="Times New Roman"/>
                <w:color w:val="000000"/>
                <w:sz w:val="24"/>
                <w:szCs w:val="24"/>
              </w:rPr>
              <w:t>403</w:t>
            </w:r>
          </w:p>
        </w:tc>
      </w:tr>
      <w:tr w:rsidR="0018258B" w:rsidRPr="001937FE" w14:paraId="3B71E438" w14:textId="77777777" w:rsidTr="0018258B">
        <w:trPr>
          <w:gridAfter w:val="2"/>
          <w:wAfter w:w="706" w:type="dxa"/>
          <w:trHeight w:val="300"/>
        </w:trPr>
        <w:tc>
          <w:tcPr>
            <w:tcW w:w="2970" w:type="dxa"/>
            <w:shd w:val="clear" w:color="auto" w:fill="auto"/>
            <w:noWrap/>
            <w:vAlign w:val="center"/>
          </w:tcPr>
          <w:p w14:paraId="5A7033E0" w14:textId="77777777" w:rsidR="0018258B" w:rsidRPr="001937FE" w:rsidRDefault="0018258B" w:rsidP="00E244D1">
            <w:pPr>
              <w:spacing w:after="0" w:line="240" w:lineRule="auto"/>
              <w:rPr>
                <w:rFonts w:ascii="Times New Roman" w:eastAsia="Times New Roman" w:hAnsi="Times New Roman" w:cs="Times New Roman"/>
                <w:b/>
                <w:bCs/>
                <w:color w:val="000000"/>
                <w:sz w:val="24"/>
                <w:szCs w:val="24"/>
              </w:rPr>
            </w:pPr>
            <w:r w:rsidRPr="001937FE">
              <w:rPr>
                <w:rFonts w:ascii="Times New Roman" w:eastAsia="Times New Roman" w:hAnsi="Times New Roman" w:cs="Times New Roman"/>
                <w:i/>
                <w:iCs/>
                <w:color w:val="000000"/>
                <w:sz w:val="24"/>
                <w:szCs w:val="24"/>
              </w:rPr>
              <w:t xml:space="preserve">     FTFY Men</w:t>
            </w:r>
          </w:p>
        </w:tc>
        <w:tc>
          <w:tcPr>
            <w:tcW w:w="900" w:type="dxa"/>
            <w:shd w:val="clear" w:color="auto" w:fill="auto"/>
            <w:vAlign w:val="center"/>
          </w:tcPr>
          <w:p w14:paraId="1D82F01E" w14:textId="77777777" w:rsidR="0018258B" w:rsidRPr="009C4302" w:rsidRDefault="0018258B" w:rsidP="00E244D1">
            <w:pPr>
              <w:spacing w:after="0" w:line="240" w:lineRule="auto"/>
              <w:rPr>
                <w:rFonts w:ascii="Times New Roman" w:eastAsia="Times New Roman" w:hAnsi="Times New Roman" w:cs="Times New Roman"/>
                <w:b/>
                <w:bCs/>
                <w:color w:val="000000"/>
                <w:sz w:val="24"/>
                <w:szCs w:val="24"/>
              </w:rPr>
            </w:pPr>
            <w:r w:rsidRPr="009C4302">
              <w:rPr>
                <w:rFonts w:ascii="Times New Roman" w:eastAsia="Times New Roman" w:hAnsi="Times New Roman" w:cs="Times New Roman"/>
                <w:color w:val="000000"/>
                <w:sz w:val="24"/>
                <w:szCs w:val="24"/>
              </w:rPr>
              <w:t>10.1%</w:t>
            </w:r>
          </w:p>
        </w:tc>
        <w:tc>
          <w:tcPr>
            <w:tcW w:w="1620" w:type="dxa"/>
            <w:gridSpan w:val="2"/>
            <w:shd w:val="clear" w:color="auto" w:fill="auto"/>
            <w:vAlign w:val="center"/>
          </w:tcPr>
          <w:p w14:paraId="43427D46" w14:textId="77777777" w:rsidR="0018258B" w:rsidRPr="009C4302" w:rsidRDefault="0018258B" w:rsidP="00E244D1">
            <w:pPr>
              <w:spacing w:after="0" w:line="240" w:lineRule="auto"/>
              <w:jc w:val="center"/>
              <w:rPr>
                <w:rFonts w:ascii="Times New Roman" w:eastAsia="Times New Roman" w:hAnsi="Times New Roman" w:cs="Times New Roman"/>
                <w:b/>
                <w:bCs/>
                <w:color w:val="000000"/>
                <w:sz w:val="24"/>
                <w:szCs w:val="24"/>
              </w:rPr>
            </w:pPr>
            <w:r w:rsidRPr="009C4302">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0</w:t>
            </w:r>
            <w:r w:rsidRPr="009C4302">
              <w:rPr>
                <w:rFonts w:ascii="Times New Roman" w:eastAsia="Times New Roman" w:hAnsi="Times New Roman" w:cs="Times New Roman"/>
                <w:color w:val="000000"/>
                <w:sz w:val="24"/>
                <w:szCs w:val="24"/>
              </w:rPr>
              <w:t>.6%</w:t>
            </w:r>
          </w:p>
        </w:tc>
        <w:tc>
          <w:tcPr>
            <w:tcW w:w="1031" w:type="dxa"/>
            <w:gridSpan w:val="3"/>
            <w:shd w:val="clear" w:color="auto" w:fill="auto"/>
            <w:noWrap/>
            <w:vAlign w:val="center"/>
          </w:tcPr>
          <w:p w14:paraId="68CCC01E" w14:textId="77777777" w:rsidR="0018258B" w:rsidRPr="001937FE" w:rsidRDefault="0018258B" w:rsidP="00E244D1">
            <w:pPr>
              <w:spacing w:after="0" w:line="240" w:lineRule="auto"/>
              <w:jc w:val="right"/>
              <w:rPr>
                <w:rFonts w:ascii="Times New Roman" w:eastAsia="Times New Roman" w:hAnsi="Times New Roman" w:cs="Times New Roman"/>
                <w:b/>
                <w:bCs/>
                <w:color w:val="000000"/>
                <w:sz w:val="24"/>
                <w:szCs w:val="24"/>
              </w:rPr>
            </w:pPr>
            <w:r w:rsidRPr="00F5540F">
              <w:rPr>
                <w:rFonts w:ascii="Times New Roman" w:hAnsi="Times New Roman" w:cs="Times New Roman"/>
                <w:color w:val="000000"/>
                <w:sz w:val="24"/>
                <w:szCs w:val="24"/>
              </w:rPr>
              <w:t>2</w:t>
            </w:r>
            <w:r>
              <w:rPr>
                <w:rFonts w:ascii="Times New Roman" w:hAnsi="Times New Roman" w:cs="Times New Roman"/>
                <w:color w:val="000000"/>
                <w:sz w:val="24"/>
                <w:szCs w:val="24"/>
              </w:rPr>
              <w:t>4</w:t>
            </w:r>
            <w:r w:rsidRPr="00F5540F">
              <w:rPr>
                <w:rFonts w:ascii="Times New Roman" w:hAnsi="Times New Roman" w:cs="Times New Roman"/>
                <w:color w:val="000000"/>
                <w:sz w:val="24"/>
                <w:szCs w:val="24"/>
              </w:rPr>
              <w:t>,</w:t>
            </w:r>
            <w:r>
              <w:rPr>
                <w:rFonts w:ascii="Times New Roman" w:hAnsi="Times New Roman" w:cs="Times New Roman"/>
                <w:color w:val="000000"/>
                <w:sz w:val="24"/>
                <w:szCs w:val="24"/>
              </w:rPr>
              <w:t>000</w:t>
            </w:r>
          </w:p>
        </w:tc>
        <w:tc>
          <w:tcPr>
            <w:tcW w:w="1031" w:type="dxa"/>
            <w:gridSpan w:val="5"/>
            <w:shd w:val="clear" w:color="auto" w:fill="auto"/>
            <w:noWrap/>
            <w:vAlign w:val="center"/>
          </w:tcPr>
          <w:p w14:paraId="11F32900" w14:textId="77777777" w:rsidR="0018258B" w:rsidRPr="001937FE" w:rsidRDefault="0018258B" w:rsidP="00E244D1">
            <w:pPr>
              <w:spacing w:after="0" w:line="240" w:lineRule="auto"/>
              <w:jc w:val="right"/>
              <w:rPr>
                <w:rFonts w:ascii="Times New Roman" w:eastAsia="Times New Roman" w:hAnsi="Times New Roman" w:cs="Times New Roman"/>
                <w:sz w:val="20"/>
                <w:szCs w:val="20"/>
              </w:rPr>
            </w:pPr>
            <w:r w:rsidRPr="00F5540F">
              <w:rPr>
                <w:rFonts w:ascii="Times New Roman" w:hAnsi="Times New Roman" w:cs="Times New Roman"/>
                <w:color w:val="000000"/>
                <w:sz w:val="24"/>
                <w:szCs w:val="24"/>
              </w:rPr>
              <w:t>3</w:t>
            </w:r>
            <w:r>
              <w:rPr>
                <w:rFonts w:ascii="Times New Roman" w:hAnsi="Times New Roman" w:cs="Times New Roman"/>
                <w:color w:val="000000"/>
                <w:sz w:val="24"/>
                <w:szCs w:val="24"/>
              </w:rPr>
              <w:t>5</w:t>
            </w:r>
            <w:r w:rsidRPr="00F5540F">
              <w:rPr>
                <w:rFonts w:ascii="Times New Roman" w:hAnsi="Times New Roman" w:cs="Times New Roman"/>
                <w:color w:val="000000"/>
                <w:sz w:val="24"/>
                <w:szCs w:val="24"/>
              </w:rPr>
              <w:t>,</w:t>
            </w:r>
            <w:r>
              <w:rPr>
                <w:rFonts w:ascii="Times New Roman" w:hAnsi="Times New Roman" w:cs="Times New Roman"/>
                <w:color w:val="000000"/>
                <w:sz w:val="24"/>
                <w:szCs w:val="24"/>
              </w:rPr>
              <w:t>000</w:t>
            </w:r>
          </w:p>
        </w:tc>
        <w:tc>
          <w:tcPr>
            <w:tcW w:w="1032" w:type="dxa"/>
            <w:gridSpan w:val="4"/>
            <w:shd w:val="clear" w:color="auto" w:fill="auto"/>
            <w:noWrap/>
            <w:vAlign w:val="center"/>
          </w:tcPr>
          <w:p w14:paraId="3878A045" w14:textId="77777777" w:rsidR="0018258B" w:rsidRPr="001937FE" w:rsidRDefault="0018258B" w:rsidP="00E244D1">
            <w:pPr>
              <w:spacing w:after="0" w:line="240" w:lineRule="auto"/>
              <w:jc w:val="right"/>
              <w:rPr>
                <w:rFonts w:ascii="Times New Roman" w:eastAsia="Times New Roman" w:hAnsi="Times New Roman" w:cs="Times New Roman"/>
                <w:sz w:val="20"/>
                <w:szCs w:val="20"/>
              </w:rPr>
            </w:pPr>
            <w:r w:rsidRPr="00F5540F">
              <w:rPr>
                <w:rFonts w:ascii="Times New Roman" w:hAnsi="Times New Roman" w:cs="Times New Roman"/>
                <w:color w:val="000000"/>
                <w:sz w:val="24"/>
                <w:szCs w:val="24"/>
              </w:rPr>
              <w:t>5</w:t>
            </w:r>
            <w:r>
              <w:rPr>
                <w:rFonts w:ascii="Times New Roman" w:hAnsi="Times New Roman" w:cs="Times New Roman"/>
                <w:color w:val="000000"/>
                <w:sz w:val="24"/>
                <w:szCs w:val="24"/>
              </w:rPr>
              <w:t>5</w:t>
            </w:r>
            <w:r w:rsidRPr="00F5540F">
              <w:rPr>
                <w:rFonts w:ascii="Times New Roman" w:hAnsi="Times New Roman" w:cs="Times New Roman"/>
                <w:color w:val="000000"/>
                <w:sz w:val="24"/>
                <w:szCs w:val="24"/>
              </w:rPr>
              <w:t>,</w:t>
            </w:r>
            <w:r>
              <w:rPr>
                <w:rFonts w:ascii="Times New Roman" w:hAnsi="Times New Roman" w:cs="Times New Roman"/>
                <w:color w:val="000000"/>
                <w:sz w:val="24"/>
                <w:szCs w:val="24"/>
              </w:rPr>
              <w:t>000</w:t>
            </w:r>
          </w:p>
        </w:tc>
        <w:tc>
          <w:tcPr>
            <w:tcW w:w="1031" w:type="dxa"/>
            <w:gridSpan w:val="3"/>
            <w:shd w:val="clear" w:color="auto" w:fill="auto"/>
            <w:noWrap/>
            <w:vAlign w:val="center"/>
          </w:tcPr>
          <w:p w14:paraId="06A9448C" w14:textId="77777777" w:rsidR="0018258B" w:rsidRPr="001937FE" w:rsidRDefault="0018258B" w:rsidP="00E244D1">
            <w:pPr>
              <w:spacing w:after="0" w:line="240" w:lineRule="auto"/>
              <w:jc w:val="right"/>
              <w:rPr>
                <w:rFonts w:ascii="Times New Roman" w:eastAsia="Times New Roman" w:hAnsi="Times New Roman" w:cs="Times New Roman"/>
                <w:sz w:val="20"/>
                <w:szCs w:val="20"/>
              </w:rPr>
            </w:pPr>
            <w:r w:rsidRPr="00F5540F">
              <w:rPr>
                <w:rFonts w:ascii="Times New Roman" w:hAnsi="Times New Roman" w:cs="Times New Roman"/>
                <w:color w:val="000000"/>
                <w:sz w:val="24"/>
                <w:szCs w:val="24"/>
              </w:rPr>
              <w:t>8</w:t>
            </w:r>
            <w:r>
              <w:rPr>
                <w:rFonts w:ascii="Times New Roman" w:hAnsi="Times New Roman" w:cs="Times New Roman"/>
                <w:color w:val="000000"/>
                <w:sz w:val="24"/>
                <w:szCs w:val="24"/>
              </w:rPr>
              <w:t>5</w:t>
            </w:r>
            <w:r w:rsidRPr="00F5540F">
              <w:rPr>
                <w:rFonts w:ascii="Times New Roman" w:hAnsi="Times New Roman" w:cs="Times New Roman"/>
                <w:color w:val="000000"/>
                <w:sz w:val="24"/>
                <w:szCs w:val="24"/>
              </w:rPr>
              <w:t>,</w:t>
            </w:r>
            <w:r>
              <w:rPr>
                <w:rFonts w:ascii="Times New Roman" w:hAnsi="Times New Roman" w:cs="Times New Roman"/>
                <w:color w:val="000000"/>
                <w:sz w:val="24"/>
                <w:szCs w:val="24"/>
              </w:rPr>
              <w:t>000</w:t>
            </w:r>
          </w:p>
        </w:tc>
        <w:tc>
          <w:tcPr>
            <w:tcW w:w="1031" w:type="dxa"/>
            <w:gridSpan w:val="4"/>
            <w:shd w:val="clear" w:color="auto" w:fill="auto"/>
            <w:noWrap/>
            <w:vAlign w:val="center"/>
          </w:tcPr>
          <w:p w14:paraId="26B75B4B" w14:textId="77777777" w:rsidR="0018258B" w:rsidRPr="001937FE" w:rsidRDefault="0018258B" w:rsidP="00E244D1">
            <w:pPr>
              <w:spacing w:after="0" w:line="240" w:lineRule="auto"/>
              <w:jc w:val="right"/>
              <w:rPr>
                <w:rFonts w:ascii="Times New Roman" w:eastAsia="Times New Roman" w:hAnsi="Times New Roman" w:cs="Times New Roman"/>
                <w:sz w:val="20"/>
                <w:szCs w:val="20"/>
              </w:rPr>
            </w:pPr>
            <w:r w:rsidRPr="00F5540F">
              <w:rPr>
                <w:rFonts w:ascii="Times New Roman" w:hAnsi="Times New Roman" w:cs="Times New Roman"/>
                <w:color w:val="000000"/>
                <w:sz w:val="24"/>
                <w:szCs w:val="24"/>
              </w:rPr>
              <w:t>13</w:t>
            </w:r>
            <w:r>
              <w:rPr>
                <w:rFonts w:ascii="Times New Roman" w:hAnsi="Times New Roman" w:cs="Times New Roman"/>
                <w:color w:val="000000"/>
                <w:sz w:val="24"/>
                <w:szCs w:val="24"/>
              </w:rPr>
              <w:t>4</w:t>
            </w:r>
            <w:r w:rsidRPr="00F5540F">
              <w:rPr>
                <w:rFonts w:ascii="Times New Roman" w:hAnsi="Times New Roman" w:cs="Times New Roman"/>
                <w:color w:val="000000"/>
                <w:sz w:val="24"/>
                <w:szCs w:val="24"/>
              </w:rPr>
              <w:t>,</w:t>
            </w:r>
            <w:r>
              <w:rPr>
                <w:rFonts w:ascii="Times New Roman" w:hAnsi="Times New Roman" w:cs="Times New Roman"/>
                <w:color w:val="000000"/>
                <w:sz w:val="24"/>
                <w:szCs w:val="24"/>
              </w:rPr>
              <w:t>000</w:t>
            </w:r>
          </w:p>
        </w:tc>
        <w:tc>
          <w:tcPr>
            <w:tcW w:w="1032" w:type="dxa"/>
            <w:shd w:val="clear" w:color="auto" w:fill="auto"/>
            <w:noWrap/>
            <w:vAlign w:val="center"/>
          </w:tcPr>
          <w:p w14:paraId="63361B12" w14:textId="77777777" w:rsidR="0018258B" w:rsidRPr="001937FE" w:rsidRDefault="0018258B" w:rsidP="00E244D1">
            <w:pPr>
              <w:spacing w:after="0" w:line="240" w:lineRule="auto"/>
              <w:jc w:val="right"/>
              <w:rPr>
                <w:rFonts w:ascii="Times New Roman" w:eastAsia="Times New Roman" w:hAnsi="Times New Roman" w:cs="Times New Roman"/>
                <w:sz w:val="20"/>
                <w:szCs w:val="20"/>
              </w:rPr>
            </w:pPr>
            <w:r>
              <w:rPr>
                <w:rFonts w:ascii="Times New Roman" w:hAnsi="Times New Roman" w:cs="Times New Roman"/>
                <w:color w:val="000000"/>
                <w:sz w:val="24"/>
                <w:szCs w:val="24"/>
              </w:rPr>
              <w:t>400</w:t>
            </w:r>
            <w:r w:rsidRPr="00F5540F">
              <w:rPr>
                <w:rFonts w:ascii="Times New Roman" w:hAnsi="Times New Roman" w:cs="Times New Roman"/>
                <w:color w:val="000000"/>
                <w:sz w:val="24"/>
                <w:szCs w:val="24"/>
              </w:rPr>
              <w:t>,000</w:t>
            </w:r>
          </w:p>
        </w:tc>
        <w:tc>
          <w:tcPr>
            <w:tcW w:w="1296" w:type="dxa"/>
            <w:gridSpan w:val="2"/>
            <w:shd w:val="clear" w:color="auto" w:fill="auto"/>
            <w:noWrap/>
            <w:vAlign w:val="center"/>
          </w:tcPr>
          <w:p w14:paraId="2DB95EAD" w14:textId="77777777" w:rsidR="0018258B" w:rsidRPr="001937FE" w:rsidRDefault="0018258B" w:rsidP="00E244D1">
            <w:pPr>
              <w:spacing w:after="0" w:line="240" w:lineRule="auto"/>
              <w:jc w:val="right"/>
              <w:rPr>
                <w:rFonts w:ascii="Times New Roman" w:eastAsia="Times New Roman" w:hAnsi="Times New Roman" w:cs="Times New Roman"/>
                <w:sz w:val="20"/>
                <w:szCs w:val="20"/>
              </w:rPr>
            </w:pPr>
            <w:r w:rsidRPr="00F5540F">
              <w:rPr>
                <w:rFonts w:ascii="Times New Roman" w:hAnsi="Times New Roman" w:cs="Times New Roman"/>
                <w:color w:val="000000"/>
                <w:sz w:val="24"/>
                <w:szCs w:val="24"/>
              </w:rPr>
              <w:t>0.40</w:t>
            </w:r>
            <w:r>
              <w:rPr>
                <w:rFonts w:ascii="Times New Roman" w:hAnsi="Times New Roman" w:cs="Times New Roman"/>
                <w:color w:val="000000"/>
                <w:sz w:val="24"/>
                <w:szCs w:val="24"/>
              </w:rPr>
              <w:t>9</w:t>
            </w:r>
          </w:p>
        </w:tc>
      </w:tr>
      <w:tr w:rsidR="0018258B" w:rsidRPr="001937FE" w14:paraId="7D2726AB" w14:textId="77777777" w:rsidTr="0018258B">
        <w:trPr>
          <w:gridAfter w:val="2"/>
          <w:wAfter w:w="706" w:type="dxa"/>
          <w:trHeight w:val="300"/>
        </w:trPr>
        <w:tc>
          <w:tcPr>
            <w:tcW w:w="2970" w:type="dxa"/>
            <w:shd w:val="clear" w:color="auto" w:fill="auto"/>
            <w:noWrap/>
            <w:vAlign w:val="center"/>
          </w:tcPr>
          <w:p w14:paraId="1B4D1C3A" w14:textId="77777777" w:rsidR="0018258B" w:rsidRPr="001937FE" w:rsidRDefault="0018258B" w:rsidP="00E244D1">
            <w:pPr>
              <w:spacing w:after="0" w:line="240" w:lineRule="auto"/>
              <w:rPr>
                <w:rFonts w:ascii="Times New Roman" w:eastAsia="Times New Roman" w:hAnsi="Times New Roman" w:cs="Times New Roman"/>
                <w:b/>
                <w:bCs/>
                <w:color w:val="000000"/>
                <w:sz w:val="24"/>
                <w:szCs w:val="24"/>
              </w:rPr>
            </w:pPr>
            <w:r w:rsidRPr="001937FE">
              <w:rPr>
                <w:rFonts w:ascii="Times New Roman" w:eastAsia="Times New Roman" w:hAnsi="Times New Roman" w:cs="Times New Roman"/>
                <w:i/>
                <w:iCs/>
                <w:color w:val="000000"/>
                <w:sz w:val="24"/>
                <w:szCs w:val="24"/>
              </w:rPr>
              <w:t xml:space="preserve">     FTFY Women</w:t>
            </w:r>
          </w:p>
        </w:tc>
        <w:tc>
          <w:tcPr>
            <w:tcW w:w="900" w:type="dxa"/>
            <w:shd w:val="clear" w:color="auto" w:fill="auto"/>
            <w:vAlign w:val="center"/>
          </w:tcPr>
          <w:p w14:paraId="7840956A" w14:textId="77777777" w:rsidR="0018258B" w:rsidRPr="009C4302" w:rsidRDefault="0018258B" w:rsidP="00E244D1">
            <w:pPr>
              <w:spacing w:after="0" w:line="240" w:lineRule="auto"/>
              <w:rPr>
                <w:rFonts w:ascii="Times New Roman" w:eastAsia="Times New Roman" w:hAnsi="Times New Roman" w:cs="Times New Roman"/>
                <w:b/>
                <w:bCs/>
                <w:color w:val="000000"/>
                <w:sz w:val="24"/>
                <w:szCs w:val="24"/>
              </w:rPr>
            </w:pPr>
            <w:r w:rsidRPr="009C4302">
              <w:rPr>
                <w:rFonts w:ascii="Times New Roman" w:eastAsia="Times New Roman" w:hAnsi="Times New Roman" w:cs="Times New Roman"/>
                <w:color w:val="000000"/>
                <w:sz w:val="24"/>
                <w:szCs w:val="24"/>
              </w:rPr>
              <w:t>11.9%</w:t>
            </w:r>
          </w:p>
        </w:tc>
        <w:tc>
          <w:tcPr>
            <w:tcW w:w="1620" w:type="dxa"/>
            <w:gridSpan w:val="2"/>
            <w:shd w:val="clear" w:color="auto" w:fill="auto"/>
            <w:vAlign w:val="center"/>
          </w:tcPr>
          <w:p w14:paraId="60B0F420" w14:textId="77777777" w:rsidR="0018258B" w:rsidRPr="009C4302" w:rsidRDefault="0018258B" w:rsidP="00E244D1">
            <w:pPr>
              <w:spacing w:after="0" w:line="240" w:lineRule="auto"/>
              <w:jc w:val="center"/>
              <w:rPr>
                <w:rFonts w:ascii="Times New Roman" w:eastAsia="Times New Roman" w:hAnsi="Times New Roman" w:cs="Times New Roman"/>
                <w:b/>
                <w:bCs/>
                <w:color w:val="000000"/>
                <w:sz w:val="24"/>
                <w:szCs w:val="24"/>
              </w:rPr>
            </w:pPr>
            <w:r w:rsidRPr="009C4302">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0</w:t>
            </w:r>
            <w:r w:rsidRPr="009C430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9</w:t>
            </w:r>
            <w:r w:rsidRPr="009C4302">
              <w:rPr>
                <w:rFonts w:ascii="Times New Roman" w:eastAsia="Times New Roman" w:hAnsi="Times New Roman" w:cs="Times New Roman"/>
                <w:color w:val="000000"/>
                <w:sz w:val="24"/>
                <w:szCs w:val="24"/>
              </w:rPr>
              <w:t>%</w:t>
            </w:r>
          </w:p>
        </w:tc>
        <w:tc>
          <w:tcPr>
            <w:tcW w:w="1031" w:type="dxa"/>
            <w:gridSpan w:val="3"/>
            <w:shd w:val="clear" w:color="auto" w:fill="auto"/>
            <w:noWrap/>
            <w:vAlign w:val="center"/>
          </w:tcPr>
          <w:p w14:paraId="7F9249C3" w14:textId="77777777" w:rsidR="0018258B" w:rsidRPr="001937FE" w:rsidRDefault="0018258B" w:rsidP="00E244D1">
            <w:pPr>
              <w:spacing w:after="0" w:line="240" w:lineRule="auto"/>
              <w:jc w:val="right"/>
              <w:rPr>
                <w:rFonts w:ascii="Times New Roman" w:eastAsia="Times New Roman" w:hAnsi="Times New Roman" w:cs="Times New Roman"/>
                <w:b/>
                <w:bCs/>
                <w:color w:val="000000"/>
                <w:sz w:val="24"/>
                <w:szCs w:val="24"/>
              </w:rPr>
            </w:pPr>
            <w:r w:rsidRPr="00F5540F">
              <w:rPr>
                <w:rFonts w:ascii="Times New Roman" w:hAnsi="Times New Roman" w:cs="Times New Roman"/>
                <w:color w:val="000000"/>
                <w:sz w:val="24"/>
                <w:szCs w:val="24"/>
              </w:rPr>
              <w:t>20,</w:t>
            </w:r>
            <w:r>
              <w:rPr>
                <w:rFonts w:ascii="Times New Roman" w:hAnsi="Times New Roman" w:cs="Times New Roman"/>
                <w:color w:val="000000"/>
                <w:sz w:val="24"/>
                <w:szCs w:val="24"/>
              </w:rPr>
              <w:t>0</w:t>
            </w:r>
            <w:r w:rsidRPr="00F5540F">
              <w:rPr>
                <w:rFonts w:ascii="Times New Roman" w:hAnsi="Times New Roman" w:cs="Times New Roman"/>
                <w:color w:val="000000"/>
                <w:sz w:val="24"/>
                <w:szCs w:val="24"/>
              </w:rPr>
              <w:t>0</w:t>
            </w:r>
            <w:r>
              <w:rPr>
                <w:rFonts w:ascii="Times New Roman" w:hAnsi="Times New Roman" w:cs="Times New Roman"/>
                <w:color w:val="000000"/>
                <w:sz w:val="24"/>
                <w:szCs w:val="24"/>
              </w:rPr>
              <w:t>0</w:t>
            </w:r>
          </w:p>
        </w:tc>
        <w:tc>
          <w:tcPr>
            <w:tcW w:w="1031" w:type="dxa"/>
            <w:gridSpan w:val="5"/>
            <w:shd w:val="clear" w:color="auto" w:fill="auto"/>
            <w:noWrap/>
            <w:vAlign w:val="center"/>
          </w:tcPr>
          <w:p w14:paraId="2A24AB63" w14:textId="77777777" w:rsidR="0018258B" w:rsidRPr="001937FE" w:rsidRDefault="0018258B" w:rsidP="00E244D1">
            <w:pPr>
              <w:spacing w:after="0" w:line="240" w:lineRule="auto"/>
              <w:jc w:val="right"/>
              <w:rPr>
                <w:rFonts w:ascii="Times New Roman" w:eastAsia="Times New Roman" w:hAnsi="Times New Roman" w:cs="Times New Roman"/>
                <w:sz w:val="20"/>
                <w:szCs w:val="20"/>
              </w:rPr>
            </w:pPr>
            <w:r w:rsidRPr="00F5540F">
              <w:rPr>
                <w:rFonts w:ascii="Times New Roman" w:hAnsi="Times New Roman" w:cs="Times New Roman"/>
                <w:color w:val="000000"/>
                <w:sz w:val="24"/>
                <w:szCs w:val="24"/>
              </w:rPr>
              <w:t>3</w:t>
            </w:r>
            <w:r>
              <w:rPr>
                <w:rFonts w:ascii="Times New Roman" w:hAnsi="Times New Roman" w:cs="Times New Roman"/>
                <w:color w:val="000000"/>
                <w:sz w:val="24"/>
                <w:szCs w:val="24"/>
              </w:rPr>
              <w:t>0</w:t>
            </w:r>
            <w:r w:rsidRPr="00F5540F">
              <w:rPr>
                <w:rFonts w:ascii="Times New Roman" w:hAnsi="Times New Roman" w:cs="Times New Roman"/>
                <w:color w:val="000000"/>
                <w:sz w:val="24"/>
                <w:szCs w:val="24"/>
              </w:rPr>
              <w:t>,</w:t>
            </w:r>
            <w:r>
              <w:rPr>
                <w:rFonts w:ascii="Times New Roman" w:hAnsi="Times New Roman" w:cs="Times New Roman"/>
                <w:color w:val="000000"/>
                <w:sz w:val="24"/>
                <w:szCs w:val="24"/>
              </w:rPr>
              <w:t>000</w:t>
            </w:r>
          </w:p>
        </w:tc>
        <w:tc>
          <w:tcPr>
            <w:tcW w:w="1032" w:type="dxa"/>
            <w:gridSpan w:val="4"/>
            <w:shd w:val="clear" w:color="auto" w:fill="auto"/>
            <w:noWrap/>
            <w:vAlign w:val="center"/>
          </w:tcPr>
          <w:p w14:paraId="5BCFBE05" w14:textId="77777777" w:rsidR="0018258B" w:rsidRPr="001937FE" w:rsidRDefault="0018258B" w:rsidP="00E244D1">
            <w:pPr>
              <w:spacing w:after="0" w:line="240" w:lineRule="auto"/>
              <w:jc w:val="right"/>
              <w:rPr>
                <w:rFonts w:ascii="Times New Roman" w:eastAsia="Times New Roman" w:hAnsi="Times New Roman" w:cs="Times New Roman"/>
                <w:sz w:val="20"/>
                <w:szCs w:val="20"/>
              </w:rPr>
            </w:pPr>
            <w:r w:rsidRPr="00F5540F">
              <w:rPr>
                <w:rFonts w:ascii="Times New Roman" w:hAnsi="Times New Roman" w:cs="Times New Roman"/>
                <w:color w:val="000000"/>
                <w:sz w:val="24"/>
                <w:szCs w:val="24"/>
              </w:rPr>
              <w:t>4</w:t>
            </w:r>
            <w:r>
              <w:rPr>
                <w:rFonts w:ascii="Times New Roman" w:hAnsi="Times New Roman" w:cs="Times New Roman"/>
                <w:color w:val="000000"/>
                <w:sz w:val="24"/>
                <w:szCs w:val="24"/>
              </w:rPr>
              <w:t>5</w:t>
            </w:r>
            <w:r w:rsidRPr="00F5540F">
              <w:rPr>
                <w:rFonts w:ascii="Times New Roman" w:hAnsi="Times New Roman" w:cs="Times New Roman"/>
                <w:color w:val="000000"/>
                <w:sz w:val="24"/>
                <w:szCs w:val="24"/>
              </w:rPr>
              <w:t>,</w:t>
            </w:r>
            <w:r>
              <w:rPr>
                <w:rFonts w:ascii="Times New Roman" w:hAnsi="Times New Roman" w:cs="Times New Roman"/>
                <w:color w:val="000000"/>
                <w:sz w:val="24"/>
                <w:szCs w:val="24"/>
              </w:rPr>
              <w:t>000</w:t>
            </w:r>
          </w:p>
        </w:tc>
        <w:tc>
          <w:tcPr>
            <w:tcW w:w="1031" w:type="dxa"/>
            <w:gridSpan w:val="3"/>
            <w:shd w:val="clear" w:color="auto" w:fill="auto"/>
            <w:noWrap/>
            <w:vAlign w:val="center"/>
          </w:tcPr>
          <w:p w14:paraId="4BB9A37A" w14:textId="77777777" w:rsidR="0018258B" w:rsidRPr="001937FE" w:rsidRDefault="0018258B" w:rsidP="00E244D1">
            <w:pPr>
              <w:spacing w:after="0" w:line="240" w:lineRule="auto"/>
              <w:jc w:val="right"/>
              <w:rPr>
                <w:rFonts w:ascii="Times New Roman" w:eastAsia="Times New Roman" w:hAnsi="Times New Roman" w:cs="Times New Roman"/>
                <w:sz w:val="20"/>
                <w:szCs w:val="20"/>
              </w:rPr>
            </w:pPr>
            <w:r w:rsidRPr="00F5540F">
              <w:rPr>
                <w:rFonts w:ascii="Times New Roman" w:hAnsi="Times New Roman" w:cs="Times New Roman"/>
                <w:color w:val="000000"/>
                <w:sz w:val="24"/>
                <w:szCs w:val="24"/>
              </w:rPr>
              <w:t>68,</w:t>
            </w:r>
            <w:r>
              <w:rPr>
                <w:rFonts w:ascii="Times New Roman" w:hAnsi="Times New Roman" w:cs="Times New Roman"/>
                <w:color w:val="000000"/>
                <w:sz w:val="24"/>
                <w:szCs w:val="24"/>
              </w:rPr>
              <w:t>0</w:t>
            </w:r>
            <w:r w:rsidRPr="00F5540F">
              <w:rPr>
                <w:rFonts w:ascii="Times New Roman" w:hAnsi="Times New Roman" w:cs="Times New Roman"/>
                <w:color w:val="000000"/>
                <w:sz w:val="24"/>
                <w:szCs w:val="24"/>
              </w:rPr>
              <w:t>00</w:t>
            </w:r>
          </w:p>
        </w:tc>
        <w:tc>
          <w:tcPr>
            <w:tcW w:w="1031" w:type="dxa"/>
            <w:gridSpan w:val="4"/>
            <w:shd w:val="clear" w:color="auto" w:fill="auto"/>
            <w:noWrap/>
            <w:vAlign w:val="center"/>
          </w:tcPr>
          <w:p w14:paraId="2BC15B1C" w14:textId="77777777" w:rsidR="0018258B" w:rsidRPr="001937FE" w:rsidRDefault="0018258B" w:rsidP="00E244D1">
            <w:pPr>
              <w:spacing w:after="0" w:line="240" w:lineRule="auto"/>
              <w:jc w:val="right"/>
              <w:rPr>
                <w:rFonts w:ascii="Times New Roman" w:eastAsia="Times New Roman" w:hAnsi="Times New Roman" w:cs="Times New Roman"/>
                <w:sz w:val="20"/>
                <w:szCs w:val="20"/>
              </w:rPr>
            </w:pPr>
            <w:r w:rsidRPr="00F5540F">
              <w:rPr>
                <w:rFonts w:ascii="Times New Roman" w:hAnsi="Times New Roman" w:cs="Times New Roman"/>
                <w:color w:val="000000"/>
                <w:sz w:val="24"/>
                <w:szCs w:val="24"/>
              </w:rPr>
              <w:t>100,</w:t>
            </w:r>
            <w:r>
              <w:rPr>
                <w:rFonts w:ascii="Times New Roman" w:hAnsi="Times New Roman" w:cs="Times New Roman"/>
                <w:color w:val="000000"/>
                <w:sz w:val="24"/>
                <w:szCs w:val="24"/>
              </w:rPr>
              <w:t>00</w:t>
            </w:r>
            <w:r w:rsidRPr="00F5540F">
              <w:rPr>
                <w:rFonts w:ascii="Times New Roman" w:hAnsi="Times New Roman" w:cs="Times New Roman"/>
                <w:color w:val="000000"/>
                <w:sz w:val="24"/>
                <w:szCs w:val="24"/>
              </w:rPr>
              <w:t>0</w:t>
            </w:r>
          </w:p>
        </w:tc>
        <w:tc>
          <w:tcPr>
            <w:tcW w:w="1032" w:type="dxa"/>
            <w:shd w:val="clear" w:color="auto" w:fill="auto"/>
            <w:noWrap/>
            <w:vAlign w:val="center"/>
          </w:tcPr>
          <w:p w14:paraId="33D10834" w14:textId="77777777" w:rsidR="0018258B" w:rsidRPr="001937FE" w:rsidRDefault="0018258B" w:rsidP="00E244D1">
            <w:pPr>
              <w:spacing w:after="0" w:line="240" w:lineRule="auto"/>
              <w:jc w:val="right"/>
              <w:rPr>
                <w:rFonts w:ascii="Times New Roman" w:eastAsia="Times New Roman" w:hAnsi="Times New Roman" w:cs="Times New Roman"/>
                <w:sz w:val="20"/>
                <w:szCs w:val="20"/>
              </w:rPr>
            </w:pPr>
            <w:r w:rsidRPr="00F5540F">
              <w:rPr>
                <w:rFonts w:ascii="Times New Roman" w:hAnsi="Times New Roman" w:cs="Times New Roman"/>
                <w:color w:val="000000"/>
                <w:sz w:val="24"/>
                <w:szCs w:val="24"/>
              </w:rPr>
              <w:t>2</w:t>
            </w:r>
            <w:r>
              <w:rPr>
                <w:rFonts w:ascii="Times New Roman" w:hAnsi="Times New Roman" w:cs="Times New Roman"/>
                <w:color w:val="000000"/>
                <w:sz w:val="24"/>
                <w:szCs w:val="24"/>
              </w:rPr>
              <w:t>60</w:t>
            </w:r>
            <w:r w:rsidRPr="00F5540F">
              <w:rPr>
                <w:rFonts w:ascii="Times New Roman" w:hAnsi="Times New Roman" w:cs="Times New Roman"/>
                <w:color w:val="000000"/>
                <w:sz w:val="24"/>
                <w:szCs w:val="24"/>
              </w:rPr>
              <w:t>,</w:t>
            </w:r>
            <w:r>
              <w:rPr>
                <w:rFonts w:ascii="Times New Roman" w:hAnsi="Times New Roman" w:cs="Times New Roman"/>
                <w:color w:val="000000"/>
                <w:sz w:val="24"/>
                <w:szCs w:val="24"/>
              </w:rPr>
              <w:t>000</w:t>
            </w:r>
          </w:p>
        </w:tc>
        <w:tc>
          <w:tcPr>
            <w:tcW w:w="1296" w:type="dxa"/>
            <w:gridSpan w:val="2"/>
            <w:shd w:val="clear" w:color="auto" w:fill="auto"/>
            <w:noWrap/>
            <w:vAlign w:val="center"/>
          </w:tcPr>
          <w:p w14:paraId="75349438" w14:textId="77777777" w:rsidR="0018258B" w:rsidRPr="001937FE" w:rsidRDefault="0018258B" w:rsidP="00E244D1">
            <w:pPr>
              <w:spacing w:after="0" w:line="240" w:lineRule="auto"/>
              <w:jc w:val="right"/>
              <w:rPr>
                <w:rFonts w:ascii="Times New Roman" w:eastAsia="Times New Roman" w:hAnsi="Times New Roman" w:cs="Times New Roman"/>
                <w:sz w:val="20"/>
                <w:szCs w:val="20"/>
              </w:rPr>
            </w:pPr>
            <w:r w:rsidRPr="00F5540F">
              <w:rPr>
                <w:rFonts w:ascii="Times New Roman" w:hAnsi="Times New Roman" w:cs="Times New Roman"/>
                <w:color w:val="000000"/>
                <w:sz w:val="24"/>
                <w:szCs w:val="24"/>
              </w:rPr>
              <w:t>0.3</w:t>
            </w:r>
            <w:r>
              <w:rPr>
                <w:rFonts w:ascii="Times New Roman" w:hAnsi="Times New Roman" w:cs="Times New Roman"/>
                <w:color w:val="000000"/>
                <w:sz w:val="24"/>
                <w:szCs w:val="24"/>
              </w:rPr>
              <w:t>83</w:t>
            </w:r>
          </w:p>
        </w:tc>
      </w:tr>
      <w:tr w:rsidR="0018258B" w:rsidRPr="001937FE" w14:paraId="6594A124" w14:textId="77777777" w:rsidTr="0018258B">
        <w:trPr>
          <w:gridAfter w:val="2"/>
          <w:wAfter w:w="706" w:type="dxa"/>
          <w:trHeight w:val="300"/>
        </w:trPr>
        <w:tc>
          <w:tcPr>
            <w:tcW w:w="2970" w:type="dxa"/>
            <w:tcBorders>
              <w:bottom w:val="single" w:sz="4" w:space="0" w:color="auto"/>
            </w:tcBorders>
            <w:shd w:val="clear" w:color="auto" w:fill="auto"/>
            <w:noWrap/>
            <w:vAlign w:val="center"/>
          </w:tcPr>
          <w:p w14:paraId="620377EA" w14:textId="77777777" w:rsidR="0018258B" w:rsidRPr="001937FE" w:rsidRDefault="0018258B" w:rsidP="00E244D1">
            <w:pPr>
              <w:spacing w:after="0" w:line="240" w:lineRule="auto"/>
              <w:rPr>
                <w:rFonts w:ascii="Times New Roman" w:eastAsia="Times New Roman" w:hAnsi="Times New Roman" w:cs="Times New Roman"/>
                <w:b/>
                <w:bCs/>
                <w:color w:val="000000"/>
                <w:sz w:val="24"/>
                <w:szCs w:val="24"/>
              </w:rPr>
            </w:pPr>
            <w:r w:rsidRPr="001937FE">
              <w:rPr>
                <w:rFonts w:ascii="Times New Roman" w:eastAsia="Times New Roman" w:hAnsi="Times New Roman" w:cs="Times New Roman"/>
                <w:i/>
                <w:iCs/>
                <w:color w:val="000000"/>
                <w:sz w:val="24"/>
                <w:szCs w:val="24"/>
              </w:rPr>
              <w:t xml:space="preserve">     All Men</w:t>
            </w:r>
          </w:p>
        </w:tc>
        <w:tc>
          <w:tcPr>
            <w:tcW w:w="900" w:type="dxa"/>
            <w:tcBorders>
              <w:bottom w:val="single" w:sz="4" w:space="0" w:color="auto"/>
            </w:tcBorders>
            <w:shd w:val="clear" w:color="auto" w:fill="auto"/>
            <w:vAlign w:val="center"/>
          </w:tcPr>
          <w:p w14:paraId="3A1C2759" w14:textId="77777777" w:rsidR="0018258B" w:rsidRPr="009C4302" w:rsidRDefault="0018258B" w:rsidP="00E244D1">
            <w:pPr>
              <w:spacing w:after="0" w:line="240" w:lineRule="auto"/>
              <w:rPr>
                <w:rFonts w:ascii="Times New Roman" w:eastAsia="Times New Roman" w:hAnsi="Times New Roman" w:cs="Times New Roman"/>
                <w:b/>
                <w:bCs/>
                <w:color w:val="000000"/>
                <w:sz w:val="24"/>
                <w:szCs w:val="24"/>
              </w:rPr>
            </w:pPr>
            <w:r w:rsidRPr="009C4302">
              <w:rPr>
                <w:rFonts w:ascii="Times New Roman" w:eastAsia="Times New Roman" w:hAnsi="Times New Roman" w:cs="Times New Roman"/>
                <w:color w:val="000000"/>
                <w:sz w:val="24"/>
                <w:szCs w:val="24"/>
              </w:rPr>
              <w:t>9.6%</w:t>
            </w:r>
          </w:p>
        </w:tc>
        <w:tc>
          <w:tcPr>
            <w:tcW w:w="1620" w:type="dxa"/>
            <w:gridSpan w:val="2"/>
            <w:tcBorders>
              <w:bottom w:val="single" w:sz="4" w:space="0" w:color="auto"/>
            </w:tcBorders>
            <w:shd w:val="clear" w:color="auto" w:fill="auto"/>
            <w:vAlign w:val="center"/>
          </w:tcPr>
          <w:p w14:paraId="651E44EA" w14:textId="77777777" w:rsidR="0018258B" w:rsidRPr="009C4302" w:rsidRDefault="0018258B" w:rsidP="00E244D1">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36</w:t>
            </w:r>
            <w:r w:rsidRPr="009C4302">
              <w:rPr>
                <w:rFonts w:ascii="Times New Roman" w:eastAsia="Times New Roman" w:hAnsi="Times New Roman" w:cs="Times New Roman"/>
                <w:color w:val="000000"/>
                <w:sz w:val="24"/>
                <w:szCs w:val="24"/>
              </w:rPr>
              <w:t>.4%</w:t>
            </w:r>
          </w:p>
        </w:tc>
        <w:tc>
          <w:tcPr>
            <w:tcW w:w="1031" w:type="dxa"/>
            <w:gridSpan w:val="3"/>
            <w:tcBorders>
              <w:bottom w:val="single" w:sz="4" w:space="0" w:color="auto"/>
            </w:tcBorders>
            <w:shd w:val="clear" w:color="auto" w:fill="auto"/>
            <w:noWrap/>
            <w:vAlign w:val="center"/>
          </w:tcPr>
          <w:p w14:paraId="5546BF11" w14:textId="77777777" w:rsidR="0018258B" w:rsidRPr="001937FE" w:rsidRDefault="0018258B" w:rsidP="00E244D1">
            <w:pPr>
              <w:spacing w:after="0" w:line="240" w:lineRule="auto"/>
              <w:jc w:val="right"/>
              <w:rPr>
                <w:rFonts w:ascii="Times New Roman" w:eastAsia="Times New Roman" w:hAnsi="Times New Roman" w:cs="Times New Roman"/>
                <w:b/>
                <w:bCs/>
                <w:color w:val="000000"/>
                <w:sz w:val="24"/>
                <w:szCs w:val="24"/>
              </w:rPr>
            </w:pPr>
            <w:r w:rsidRPr="00F5540F">
              <w:rPr>
                <w:rFonts w:ascii="Times New Roman" w:hAnsi="Times New Roman" w:cs="Times New Roman"/>
                <w:color w:val="000000"/>
                <w:sz w:val="24"/>
                <w:szCs w:val="24"/>
              </w:rPr>
              <w:t>0</w:t>
            </w:r>
          </w:p>
        </w:tc>
        <w:tc>
          <w:tcPr>
            <w:tcW w:w="1031" w:type="dxa"/>
            <w:gridSpan w:val="5"/>
            <w:tcBorders>
              <w:bottom w:val="single" w:sz="4" w:space="0" w:color="auto"/>
            </w:tcBorders>
            <w:shd w:val="clear" w:color="auto" w:fill="auto"/>
            <w:noWrap/>
            <w:vAlign w:val="center"/>
          </w:tcPr>
          <w:p w14:paraId="161CC4E6" w14:textId="77777777" w:rsidR="0018258B" w:rsidRPr="001937FE" w:rsidRDefault="0018258B" w:rsidP="00E244D1">
            <w:pPr>
              <w:spacing w:after="0" w:line="240" w:lineRule="auto"/>
              <w:jc w:val="right"/>
              <w:rPr>
                <w:rFonts w:ascii="Times New Roman" w:eastAsia="Times New Roman" w:hAnsi="Times New Roman" w:cs="Times New Roman"/>
                <w:sz w:val="20"/>
                <w:szCs w:val="20"/>
              </w:rPr>
            </w:pPr>
            <w:r w:rsidRPr="00F5540F">
              <w:rPr>
                <w:rFonts w:ascii="Times New Roman" w:hAnsi="Times New Roman" w:cs="Times New Roman"/>
                <w:color w:val="000000"/>
                <w:sz w:val="24"/>
                <w:szCs w:val="24"/>
              </w:rPr>
              <w:t>2</w:t>
            </w:r>
            <w:r>
              <w:rPr>
                <w:rFonts w:ascii="Times New Roman" w:hAnsi="Times New Roman" w:cs="Times New Roman"/>
                <w:color w:val="000000"/>
                <w:sz w:val="24"/>
                <w:szCs w:val="24"/>
              </w:rPr>
              <w:t>0,000</w:t>
            </w:r>
          </w:p>
        </w:tc>
        <w:tc>
          <w:tcPr>
            <w:tcW w:w="1032" w:type="dxa"/>
            <w:gridSpan w:val="4"/>
            <w:tcBorders>
              <w:bottom w:val="single" w:sz="4" w:space="0" w:color="auto"/>
            </w:tcBorders>
            <w:shd w:val="clear" w:color="auto" w:fill="auto"/>
            <w:noWrap/>
            <w:vAlign w:val="center"/>
          </w:tcPr>
          <w:p w14:paraId="68BA573C" w14:textId="77777777" w:rsidR="0018258B" w:rsidRPr="001937FE" w:rsidRDefault="0018258B" w:rsidP="00E244D1">
            <w:pPr>
              <w:spacing w:after="0" w:line="240" w:lineRule="auto"/>
              <w:jc w:val="right"/>
              <w:rPr>
                <w:rFonts w:ascii="Times New Roman" w:eastAsia="Times New Roman" w:hAnsi="Times New Roman" w:cs="Times New Roman"/>
                <w:sz w:val="20"/>
                <w:szCs w:val="20"/>
              </w:rPr>
            </w:pPr>
            <w:r w:rsidRPr="00F5540F">
              <w:rPr>
                <w:rFonts w:ascii="Times New Roman" w:hAnsi="Times New Roman" w:cs="Times New Roman"/>
                <w:color w:val="000000"/>
                <w:sz w:val="24"/>
                <w:szCs w:val="24"/>
              </w:rPr>
              <w:t>4</w:t>
            </w:r>
            <w:r>
              <w:rPr>
                <w:rFonts w:ascii="Times New Roman" w:hAnsi="Times New Roman" w:cs="Times New Roman"/>
                <w:color w:val="000000"/>
                <w:sz w:val="24"/>
                <w:szCs w:val="24"/>
              </w:rPr>
              <w:t>3,614</w:t>
            </w:r>
          </w:p>
        </w:tc>
        <w:tc>
          <w:tcPr>
            <w:tcW w:w="1031" w:type="dxa"/>
            <w:gridSpan w:val="3"/>
            <w:tcBorders>
              <w:bottom w:val="single" w:sz="4" w:space="0" w:color="auto"/>
            </w:tcBorders>
            <w:shd w:val="clear" w:color="auto" w:fill="auto"/>
            <w:noWrap/>
            <w:vAlign w:val="center"/>
          </w:tcPr>
          <w:p w14:paraId="4FB19507" w14:textId="77777777" w:rsidR="0018258B" w:rsidRPr="001937FE" w:rsidRDefault="0018258B" w:rsidP="00E244D1">
            <w:pPr>
              <w:spacing w:after="0" w:line="240" w:lineRule="auto"/>
              <w:jc w:val="right"/>
              <w:rPr>
                <w:rFonts w:ascii="Times New Roman" w:eastAsia="Times New Roman" w:hAnsi="Times New Roman" w:cs="Times New Roman"/>
                <w:sz w:val="20"/>
                <w:szCs w:val="20"/>
              </w:rPr>
            </w:pPr>
            <w:r>
              <w:rPr>
                <w:rFonts w:ascii="Times New Roman" w:hAnsi="Times New Roman" w:cs="Times New Roman"/>
                <w:color w:val="000000"/>
                <w:sz w:val="24"/>
                <w:szCs w:val="24"/>
              </w:rPr>
              <w:t>75,0</w:t>
            </w:r>
            <w:r w:rsidRPr="00F5540F">
              <w:rPr>
                <w:rFonts w:ascii="Times New Roman" w:hAnsi="Times New Roman" w:cs="Times New Roman"/>
                <w:color w:val="000000"/>
                <w:sz w:val="24"/>
                <w:szCs w:val="24"/>
              </w:rPr>
              <w:t>00</w:t>
            </w:r>
          </w:p>
        </w:tc>
        <w:tc>
          <w:tcPr>
            <w:tcW w:w="1031" w:type="dxa"/>
            <w:gridSpan w:val="4"/>
            <w:tcBorders>
              <w:bottom w:val="single" w:sz="4" w:space="0" w:color="auto"/>
            </w:tcBorders>
            <w:shd w:val="clear" w:color="auto" w:fill="auto"/>
            <w:noWrap/>
            <w:vAlign w:val="center"/>
          </w:tcPr>
          <w:p w14:paraId="6AAF0D86" w14:textId="77777777" w:rsidR="0018258B" w:rsidRPr="001937FE" w:rsidRDefault="0018258B" w:rsidP="00E244D1">
            <w:pPr>
              <w:spacing w:after="0" w:line="240" w:lineRule="auto"/>
              <w:jc w:val="right"/>
              <w:rPr>
                <w:rFonts w:ascii="Times New Roman" w:eastAsia="Times New Roman" w:hAnsi="Times New Roman" w:cs="Times New Roman"/>
                <w:sz w:val="20"/>
                <w:szCs w:val="20"/>
              </w:rPr>
            </w:pPr>
            <w:r w:rsidRPr="00F5540F">
              <w:rPr>
                <w:rFonts w:ascii="Times New Roman" w:hAnsi="Times New Roman" w:cs="Times New Roman"/>
                <w:color w:val="000000"/>
                <w:sz w:val="24"/>
                <w:szCs w:val="24"/>
              </w:rPr>
              <w:t>12</w:t>
            </w:r>
            <w:r>
              <w:rPr>
                <w:rFonts w:ascii="Times New Roman" w:hAnsi="Times New Roman" w:cs="Times New Roman"/>
                <w:color w:val="000000"/>
                <w:sz w:val="24"/>
                <w:szCs w:val="24"/>
              </w:rPr>
              <w:t>0,</w:t>
            </w:r>
            <w:r w:rsidRPr="00F5540F">
              <w:rPr>
                <w:rFonts w:ascii="Times New Roman" w:hAnsi="Times New Roman" w:cs="Times New Roman"/>
                <w:color w:val="000000"/>
                <w:sz w:val="24"/>
                <w:szCs w:val="24"/>
              </w:rPr>
              <w:t>0</w:t>
            </w:r>
            <w:r>
              <w:rPr>
                <w:rFonts w:ascii="Times New Roman" w:hAnsi="Times New Roman" w:cs="Times New Roman"/>
                <w:color w:val="000000"/>
                <w:sz w:val="24"/>
                <w:szCs w:val="24"/>
              </w:rPr>
              <w:t>0</w:t>
            </w:r>
            <w:r w:rsidRPr="00F5540F">
              <w:rPr>
                <w:rFonts w:ascii="Times New Roman" w:hAnsi="Times New Roman" w:cs="Times New Roman"/>
                <w:color w:val="000000"/>
                <w:sz w:val="24"/>
                <w:szCs w:val="24"/>
              </w:rPr>
              <w:t>0</w:t>
            </w:r>
          </w:p>
        </w:tc>
        <w:tc>
          <w:tcPr>
            <w:tcW w:w="1032" w:type="dxa"/>
            <w:tcBorders>
              <w:bottom w:val="single" w:sz="4" w:space="0" w:color="auto"/>
            </w:tcBorders>
            <w:shd w:val="clear" w:color="auto" w:fill="auto"/>
            <w:noWrap/>
            <w:vAlign w:val="center"/>
          </w:tcPr>
          <w:p w14:paraId="58A6C1AB" w14:textId="77777777" w:rsidR="0018258B" w:rsidRPr="001937FE" w:rsidRDefault="0018258B" w:rsidP="00E244D1">
            <w:pPr>
              <w:spacing w:after="0" w:line="240" w:lineRule="auto"/>
              <w:jc w:val="right"/>
              <w:rPr>
                <w:rFonts w:ascii="Times New Roman" w:eastAsia="Times New Roman" w:hAnsi="Times New Roman" w:cs="Times New Roman"/>
                <w:sz w:val="20"/>
                <w:szCs w:val="20"/>
              </w:rPr>
            </w:pPr>
            <w:r w:rsidRPr="00F5540F">
              <w:rPr>
                <w:rFonts w:ascii="Times New Roman" w:hAnsi="Times New Roman" w:cs="Times New Roman"/>
                <w:color w:val="000000"/>
                <w:sz w:val="24"/>
                <w:szCs w:val="24"/>
              </w:rPr>
              <w:t>3</w:t>
            </w:r>
            <w:r>
              <w:rPr>
                <w:rFonts w:ascii="Times New Roman" w:hAnsi="Times New Roman" w:cs="Times New Roman"/>
                <w:color w:val="000000"/>
                <w:sz w:val="24"/>
                <w:szCs w:val="24"/>
              </w:rPr>
              <w:t>10,00</w:t>
            </w:r>
            <w:r w:rsidRPr="00F5540F">
              <w:rPr>
                <w:rFonts w:ascii="Times New Roman" w:hAnsi="Times New Roman" w:cs="Times New Roman"/>
                <w:color w:val="000000"/>
                <w:sz w:val="24"/>
                <w:szCs w:val="24"/>
              </w:rPr>
              <w:t>0</w:t>
            </w:r>
          </w:p>
        </w:tc>
        <w:tc>
          <w:tcPr>
            <w:tcW w:w="1296" w:type="dxa"/>
            <w:gridSpan w:val="2"/>
            <w:tcBorders>
              <w:bottom w:val="single" w:sz="4" w:space="0" w:color="auto"/>
            </w:tcBorders>
            <w:shd w:val="clear" w:color="auto" w:fill="auto"/>
            <w:noWrap/>
            <w:vAlign w:val="center"/>
          </w:tcPr>
          <w:p w14:paraId="10609DDB" w14:textId="77777777" w:rsidR="0018258B" w:rsidRPr="001937FE" w:rsidRDefault="0018258B" w:rsidP="00E244D1">
            <w:pPr>
              <w:spacing w:after="0" w:line="240" w:lineRule="auto"/>
              <w:jc w:val="right"/>
              <w:rPr>
                <w:rFonts w:ascii="Times New Roman" w:eastAsia="Times New Roman" w:hAnsi="Times New Roman" w:cs="Times New Roman"/>
                <w:sz w:val="20"/>
                <w:szCs w:val="20"/>
              </w:rPr>
            </w:pPr>
            <w:r w:rsidRPr="00F5540F">
              <w:rPr>
                <w:rFonts w:ascii="Times New Roman" w:hAnsi="Times New Roman" w:cs="Times New Roman"/>
                <w:color w:val="000000"/>
                <w:sz w:val="24"/>
                <w:szCs w:val="24"/>
              </w:rPr>
              <w:t>0.5</w:t>
            </w:r>
            <w:r>
              <w:rPr>
                <w:rFonts w:ascii="Times New Roman" w:hAnsi="Times New Roman" w:cs="Times New Roman"/>
                <w:color w:val="000000"/>
                <w:sz w:val="24"/>
                <w:szCs w:val="24"/>
              </w:rPr>
              <w:t>17</w:t>
            </w:r>
          </w:p>
        </w:tc>
      </w:tr>
      <w:tr w:rsidR="0018258B" w:rsidRPr="001937FE" w14:paraId="5610B44D" w14:textId="77777777" w:rsidTr="0018258B">
        <w:trPr>
          <w:gridAfter w:val="2"/>
          <w:wAfter w:w="706" w:type="dxa"/>
          <w:trHeight w:val="432"/>
        </w:trPr>
        <w:tc>
          <w:tcPr>
            <w:tcW w:w="5490" w:type="dxa"/>
            <w:gridSpan w:val="4"/>
            <w:tcBorders>
              <w:top w:val="single" w:sz="4" w:space="0" w:color="auto"/>
            </w:tcBorders>
            <w:shd w:val="clear" w:color="auto" w:fill="auto"/>
            <w:noWrap/>
            <w:vAlign w:val="bottom"/>
            <w:hideMark/>
          </w:tcPr>
          <w:p w14:paraId="11F6BFF7" w14:textId="0DDB0237" w:rsidR="0018258B" w:rsidRPr="009C4302" w:rsidRDefault="0018258B" w:rsidP="00E244D1">
            <w:pPr>
              <w:spacing w:after="0" w:line="240" w:lineRule="auto"/>
              <w:rPr>
                <w:rFonts w:ascii="Times New Roman" w:eastAsia="Times New Roman" w:hAnsi="Times New Roman" w:cs="Times New Roman"/>
                <w:b/>
                <w:bCs/>
                <w:color w:val="000000"/>
                <w:sz w:val="24"/>
                <w:szCs w:val="24"/>
              </w:rPr>
            </w:pPr>
            <w:r w:rsidRPr="009C4302">
              <w:rPr>
                <w:rFonts w:ascii="Times New Roman" w:eastAsia="Times New Roman" w:hAnsi="Times New Roman" w:cs="Times New Roman"/>
                <w:b/>
                <w:bCs/>
                <w:color w:val="000000"/>
                <w:sz w:val="24"/>
                <w:szCs w:val="24"/>
              </w:rPr>
              <w:t xml:space="preserve">Panel B: </w:t>
            </w:r>
            <w:r w:rsidR="0001430A" w:rsidRPr="009C4302">
              <w:rPr>
                <w:rFonts w:ascii="Times New Roman" w:eastAsia="Times New Roman" w:hAnsi="Times New Roman" w:cs="Times New Roman"/>
                <w:b/>
                <w:bCs/>
                <w:color w:val="000000"/>
                <w:sz w:val="24"/>
                <w:szCs w:val="24"/>
              </w:rPr>
              <w:t>S</w:t>
            </w:r>
            <w:r w:rsidR="0001430A">
              <w:rPr>
                <w:rFonts w:ascii="Times New Roman" w:eastAsia="Times New Roman" w:hAnsi="Times New Roman" w:cs="Times New Roman"/>
                <w:b/>
                <w:bCs/>
                <w:color w:val="000000"/>
                <w:sz w:val="24"/>
                <w:szCs w:val="24"/>
              </w:rPr>
              <w:t>imulation</w:t>
            </w:r>
            <w:r w:rsidR="0001430A" w:rsidRPr="009C4302">
              <w:rPr>
                <w:rFonts w:ascii="Times New Roman" w:eastAsia="Times New Roman" w:hAnsi="Times New Roman" w:cs="Times New Roman"/>
                <w:b/>
                <w:bCs/>
                <w:color w:val="000000"/>
                <w:sz w:val="24"/>
                <w:szCs w:val="24"/>
              </w:rPr>
              <w:t xml:space="preserve"> </w:t>
            </w:r>
            <w:r w:rsidRPr="009C4302">
              <w:rPr>
                <w:rFonts w:ascii="Times New Roman" w:eastAsia="Times New Roman" w:hAnsi="Times New Roman" w:cs="Times New Roman"/>
                <w:b/>
                <w:bCs/>
                <w:color w:val="000000"/>
                <w:sz w:val="24"/>
                <w:szCs w:val="24"/>
              </w:rPr>
              <w:t>1</w:t>
            </w:r>
          </w:p>
        </w:tc>
        <w:tc>
          <w:tcPr>
            <w:tcW w:w="1031" w:type="dxa"/>
            <w:gridSpan w:val="3"/>
            <w:tcBorders>
              <w:top w:val="single" w:sz="4" w:space="0" w:color="auto"/>
            </w:tcBorders>
            <w:shd w:val="clear" w:color="auto" w:fill="auto"/>
            <w:noWrap/>
            <w:vAlign w:val="bottom"/>
            <w:hideMark/>
          </w:tcPr>
          <w:p w14:paraId="422F310F" w14:textId="77777777" w:rsidR="0018258B" w:rsidRPr="001937FE" w:rsidRDefault="0018258B" w:rsidP="00E244D1">
            <w:pPr>
              <w:spacing w:after="0" w:line="240" w:lineRule="auto"/>
              <w:rPr>
                <w:rFonts w:ascii="Times New Roman" w:eastAsia="Times New Roman" w:hAnsi="Times New Roman" w:cs="Times New Roman"/>
                <w:b/>
                <w:bCs/>
                <w:color w:val="000000"/>
                <w:sz w:val="24"/>
                <w:szCs w:val="24"/>
              </w:rPr>
            </w:pPr>
          </w:p>
        </w:tc>
        <w:tc>
          <w:tcPr>
            <w:tcW w:w="1031" w:type="dxa"/>
            <w:gridSpan w:val="5"/>
            <w:tcBorders>
              <w:top w:val="single" w:sz="4" w:space="0" w:color="auto"/>
            </w:tcBorders>
            <w:shd w:val="clear" w:color="auto" w:fill="auto"/>
            <w:noWrap/>
            <w:vAlign w:val="bottom"/>
            <w:hideMark/>
          </w:tcPr>
          <w:p w14:paraId="2779ED7C" w14:textId="77777777" w:rsidR="0018258B" w:rsidRPr="001937FE" w:rsidRDefault="0018258B" w:rsidP="00E244D1">
            <w:pPr>
              <w:spacing w:after="0" w:line="240" w:lineRule="auto"/>
              <w:rPr>
                <w:rFonts w:ascii="Times New Roman" w:eastAsia="Times New Roman" w:hAnsi="Times New Roman" w:cs="Times New Roman"/>
                <w:sz w:val="20"/>
                <w:szCs w:val="20"/>
              </w:rPr>
            </w:pPr>
          </w:p>
        </w:tc>
        <w:tc>
          <w:tcPr>
            <w:tcW w:w="1032" w:type="dxa"/>
            <w:gridSpan w:val="4"/>
            <w:tcBorders>
              <w:top w:val="single" w:sz="4" w:space="0" w:color="auto"/>
            </w:tcBorders>
            <w:shd w:val="clear" w:color="auto" w:fill="auto"/>
            <w:noWrap/>
            <w:vAlign w:val="bottom"/>
            <w:hideMark/>
          </w:tcPr>
          <w:p w14:paraId="0B986A25" w14:textId="77777777" w:rsidR="0018258B" w:rsidRPr="001937FE" w:rsidRDefault="0018258B" w:rsidP="00E244D1">
            <w:pPr>
              <w:spacing w:after="0" w:line="240" w:lineRule="auto"/>
              <w:rPr>
                <w:rFonts w:ascii="Times New Roman" w:eastAsia="Times New Roman" w:hAnsi="Times New Roman" w:cs="Times New Roman"/>
                <w:sz w:val="20"/>
                <w:szCs w:val="20"/>
              </w:rPr>
            </w:pPr>
          </w:p>
        </w:tc>
        <w:tc>
          <w:tcPr>
            <w:tcW w:w="1031" w:type="dxa"/>
            <w:gridSpan w:val="3"/>
            <w:tcBorders>
              <w:top w:val="single" w:sz="4" w:space="0" w:color="auto"/>
            </w:tcBorders>
            <w:shd w:val="clear" w:color="auto" w:fill="auto"/>
            <w:noWrap/>
            <w:vAlign w:val="bottom"/>
            <w:hideMark/>
          </w:tcPr>
          <w:p w14:paraId="712CB47A" w14:textId="77777777" w:rsidR="0018258B" w:rsidRPr="001937FE" w:rsidRDefault="0018258B" w:rsidP="00E244D1">
            <w:pPr>
              <w:spacing w:after="0" w:line="240" w:lineRule="auto"/>
              <w:rPr>
                <w:rFonts w:ascii="Times New Roman" w:eastAsia="Times New Roman" w:hAnsi="Times New Roman" w:cs="Times New Roman"/>
                <w:sz w:val="20"/>
                <w:szCs w:val="20"/>
              </w:rPr>
            </w:pPr>
          </w:p>
        </w:tc>
        <w:tc>
          <w:tcPr>
            <w:tcW w:w="1031" w:type="dxa"/>
            <w:gridSpan w:val="4"/>
            <w:tcBorders>
              <w:top w:val="single" w:sz="4" w:space="0" w:color="auto"/>
            </w:tcBorders>
            <w:shd w:val="clear" w:color="auto" w:fill="auto"/>
            <w:noWrap/>
            <w:vAlign w:val="bottom"/>
            <w:hideMark/>
          </w:tcPr>
          <w:p w14:paraId="5B149E82" w14:textId="77777777" w:rsidR="0018258B" w:rsidRPr="001937FE" w:rsidRDefault="0018258B" w:rsidP="00E244D1">
            <w:pPr>
              <w:spacing w:after="0" w:line="240" w:lineRule="auto"/>
              <w:rPr>
                <w:rFonts w:ascii="Times New Roman" w:eastAsia="Times New Roman" w:hAnsi="Times New Roman" w:cs="Times New Roman"/>
                <w:sz w:val="20"/>
                <w:szCs w:val="20"/>
              </w:rPr>
            </w:pPr>
          </w:p>
        </w:tc>
        <w:tc>
          <w:tcPr>
            <w:tcW w:w="1032" w:type="dxa"/>
            <w:tcBorders>
              <w:top w:val="single" w:sz="4" w:space="0" w:color="auto"/>
            </w:tcBorders>
            <w:shd w:val="clear" w:color="auto" w:fill="auto"/>
            <w:noWrap/>
            <w:vAlign w:val="bottom"/>
            <w:hideMark/>
          </w:tcPr>
          <w:p w14:paraId="4111DA89" w14:textId="77777777" w:rsidR="0018258B" w:rsidRPr="001937FE" w:rsidRDefault="0018258B" w:rsidP="00E244D1">
            <w:pPr>
              <w:spacing w:after="0" w:line="240" w:lineRule="auto"/>
              <w:rPr>
                <w:rFonts w:ascii="Times New Roman" w:eastAsia="Times New Roman" w:hAnsi="Times New Roman" w:cs="Times New Roman"/>
                <w:sz w:val="20"/>
                <w:szCs w:val="20"/>
              </w:rPr>
            </w:pPr>
          </w:p>
        </w:tc>
        <w:tc>
          <w:tcPr>
            <w:tcW w:w="1296" w:type="dxa"/>
            <w:gridSpan w:val="2"/>
            <w:tcBorders>
              <w:top w:val="single" w:sz="4" w:space="0" w:color="auto"/>
            </w:tcBorders>
            <w:shd w:val="clear" w:color="auto" w:fill="auto"/>
            <w:noWrap/>
            <w:vAlign w:val="bottom"/>
            <w:hideMark/>
          </w:tcPr>
          <w:p w14:paraId="64F99687" w14:textId="77777777" w:rsidR="0018258B" w:rsidRPr="001937FE" w:rsidRDefault="0018258B" w:rsidP="00E244D1">
            <w:pPr>
              <w:spacing w:after="0" w:line="240" w:lineRule="auto"/>
              <w:rPr>
                <w:rFonts w:ascii="Times New Roman" w:eastAsia="Times New Roman" w:hAnsi="Times New Roman" w:cs="Times New Roman"/>
                <w:sz w:val="20"/>
                <w:szCs w:val="20"/>
              </w:rPr>
            </w:pPr>
          </w:p>
        </w:tc>
      </w:tr>
      <w:tr w:rsidR="00C52CEE" w:rsidRPr="001937FE" w14:paraId="07092948" w14:textId="77777777" w:rsidTr="0018258B">
        <w:trPr>
          <w:gridAfter w:val="2"/>
          <w:wAfter w:w="706" w:type="dxa"/>
          <w:trHeight w:val="310"/>
        </w:trPr>
        <w:tc>
          <w:tcPr>
            <w:tcW w:w="2970" w:type="dxa"/>
            <w:shd w:val="clear" w:color="auto" w:fill="auto"/>
            <w:noWrap/>
            <w:vAlign w:val="center"/>
            <w:hideMark/>
          </w:tcPr>
          <w:p w14:paraId="59E1C018" w14:textId="77777777" w:rsidR="00C52CEE" w:rsidRPr="001937FE" w:rsidRDefault="00C52CEE" w:rsidP="00C52CEE">
            <w:pPr>
              <w:spacing w:after="0" w:line="240" w:lineRule="auto"/>
              <w:rPr>
                <w:rFonts w:ascii="Times New Roman" w:eastAsia="Times New Roman" w:hAnsi="Times New Roman" w:cs="Times New Roman"/>
                <w:i/>
                <w:iCs/>
                <w:color w:val="000000"/>
                <w:sz w:val="24"/>
                <w:szCs w:val="24"/>
              </w:rPr>
            </w:pPr>
            <w:r w:rsidRPr="001937FE">
              <w:rPr>
                <w:rFonts w:ascii="Times New Roman" w:eastAsia="Times New Roman" w:hAnsi="Times New Roman" w:cs="Times New Roman"/>
                <w:i/>
                <w:iCs/>
                <w:color w:val="000000"/>
                <w:sz w:val="24"/>
                <w:szCs w:val="24"/>
              </w:rPr>
              <w:t xml:space="preserve">     FTFY Men and Women</w:t>
            </w:r>
          </w:p>
        </w:tc>
        <w:tc>
          <w:tcPr>
            <w:tcW w:w="900" w:type="dxa"/>
            <w:shd w:val="clear" w:color="auto" w:fill="auto"/>
            <w:noWrap/>
            <w:vAlign w:val="center"/>
            <w:hideMark/>
          </w:tcPr>
          <w:p w14:paraId="4493358E" w14:textId="0BF663A3" w:rsidR="00C52CEE" w:rsidRPr="00812272" w:rsidRDefault="00C52CEE" w:rsidP="00C52CEE">
            <w:pPr>
              <w:spacing w:after="0" w:line="240" w:lineRule="auto"/>
              <w:jc w:val="center"/>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10.9%</w:t>
            </w:r>
          </w:p>
        </w:tc>
        <w:tc>
          <w:tcPr>
            <w:tcW w:w="1620" w:type="dxa"/>
            <w:gridSpan w:val="2"/>
            <w:shd w:val="clear" w:color="auto" w:fill="auto"/>
            <w:noWrap/>
            <w:vAlign w:val="center"/>
            <w:hideMark/>
          </w:tcPr>
          <w:p w14:paraId="5E7A6472" w14:textId="2236BB40" w:rsidR="00C52CEE" w:rsidRPr="00812272" w:rsidRDefault="00C52CEE" w:rsidP="00C52CEE">
            <w:pPr>
              <w:spacing w:after="0" w:line="240" w:lineRule="auto"/>
              <w:jc w:val="center"/>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50.3%</w:t>
            </w:r>
          </w:p>
        </w:tc>
        <w:tc>
          <w:tcPr>
            <w:tcW w:w="1031" w:type="dxa"/>
            <w:gridSpan w:val="3"/>
            <w:shd w:val="clear" w:color="auto" w:fill="auto"/>
            <w:noWrap/>
            <w:vAlign w:val="center"/>
            <w:hideMark/>
          </w:tcPr>
          <w:p w14:paraId="186C5DC8" w14:textId="103BED15"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23,321</w:t>
            </w:r>
          </w:p>
        </w:tc>
        <w:tc>
          <w:tcPr>
            <w:tcW w:w="1031" w:type="dxa"/>
            <w:gridSpan w:val="5"/>
            <w:shd w:val="clear" w:color="auto" w:fill="auto"/>
            <w:noWrap/>
            <w:vAlign w:val="center"/>
            <w:hideMark/>
          </w:tcPr>
          <w:p w14:paraId="10567882" w14:textId="66030596"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33,828</w:t>
            </w:r>
          </w:p>
        </w:tc>
        <w:tc>
          <w:tcPr>
            <w:tcW w:w="1032" w:type="dxa"/>
            <w:gridSpan w:val="4"/>
            <w:shd w:val="clear" w:color="auto" w:fill="auto"/>
            <w:noWrap/>
            <w:vAlign w:val="center"/>
            <w:hideMark/>
          </w:tcPr>
          <w:p w14:paraId="6059C534" w14:textId="1CFA25DC"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51,255</w:t>
            </w:r>
          </w:p>
        </w:tc>
        <w:tc>
          <w:tcPr>
            <w:tcW w:w="1031" w:type="dxa"/>
            <w:gridSpan w:val="3"/>
            <w:shd w:val="clear" w:color="auto" w:fill="auto"/>
            <w:noWrap/>
            <w:vAlign w:val="center"/>
            <w:hideMark/>
          </w:tcPr>
          <w:p w14:paraId="6EEF3BA5" w14:textId="438B1EA5"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79,870</w:t>
            </w:r>
          </w:p>
        </w:tc>
        <w:tc>
          <w:tcPr>
            <w:tcW w:w="1031" w:type="dxa"/>
            <w:gridSpan w:val="4"/>
            <w:shd w:val="clear" w:color="auto" w:fill="auto"/>
            <w:noWrap/>
            <w:vAlign w:val="center"/>
            <w:hideMark/>
          </w:tcPr>
          <w:p w14:paraId="6AD02E63" w14:textId="4B2382D9"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122,500</w:t>
            </w:r>
          </w:p>
        </w:tc>
        <w:tc>
          <w:tcPr>
            <w:tcW w:w="1032" w:type="dxa"/>
            <w:shd w:val="clear" w:color="auto" w:fill="auto"/>
            <w:noWrap/>
            <w:vAlign w:val="center"/>
            <w:hideMark/>
          </w:tcPr>
          <w:p w14:paraId="4F907922" w14:textId="2C5F8FAE"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343,000</w:t>
            </w:r>
          </w:p>
        </w:tc>
        <w:tc>
          <w:tcPr>
            <w:tcW w:w="1296" w:type="dxa"/>
            <w:gridSpan w:val="2"/>
            <w:shd w:val="clear" w:color="auto" w:fill="auto"/>
            <w:noWrap/>
            <w:vAlign w:val="center"/>
            <w:hideMark/>
          </w:tcPr>
          <w:p w14:paraId="74840037" w14:textId="6917DFAC"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0.401</w:t>
            </w:r>
          </w:p>
        </w:tc>
      </w:tr>
      <w:tr w:rsidR="00C52CEE" w:rsidRPr="001937FE" w14:paraId="714DFC90" w14:textId="77777777" w:rsidTr="0018258B">
        <w:trPr>
          <w:gridAfter w:val="2"/>
          <w:wAfter w:w="706" w:type="dxa"/>
          <w:trHeight w:val="310"/>
        </w:trPr>
        <w:tc>
          <w:tcPr>
            <w:tcW w:w="2970" w:type="dxa"/>
            <w:shd w:val="clear" w:color="auto" w:fill="auto"/>
            <w:noWrap/>
            <w:vAlign w:val="center"/>
            <w:hideMark/>
          </w:tcPr>
          <w:p w14:paraId="058166D5" w14:textId="77777777" w:rsidR="00C52CEE" w:rsidRPr="001937FE" w:rsidRDefault="00C52CEE" w:rsidP="00C52CEE">
            <w:pPr>
              <w:spacing w:after="0" w:line="240" w:lineRule="auto"/>
              <w:rPr>
                <w:rFonts w:ascii="Times New Roman" w:eastAsia="Times New Roman" w:hAnsi="Times New Roman" w:cs="Times New Roman"/>
                <w:i/>
                <w:iCs/>
                <w:color w:val="000000"/>
                <w:sz w:val="24"/>
                <w:szCs w:val="24"/>
              </w:rPr>
            </w:pPr>
            <w:r w:rsidRPr="001937FE">
              <w:rPr>
                <w:rFonts w:ascii="Times New Roman" w:eastAsia="Times New Roman" w:hAnsi="Times New Roman" w:cs="Times New Roman"/>
                <w:i/>
                <w:iCs/>
                <w:color w:val="000000"/>
                <w:sz w:val="24"/>
                <w:szCs w:val="24"/>
              </w:rPr>
              <w:t xml:space="preserve">     FTFY Men</w:t>
            </w:r>
          </w:p>
        </w:tc>
        <w:tc>
          <w:tcPr>
            <w:tcW w:w="900" w:type="dxa"/>
            <w:shd w:val="clear" w:color="auto" w:fill="auto"/>
            <w:noWrap/>
            <w:vAlign w:val="center"/>
            <w:hideMark/>
          </w:tcPr>
          <w:p w14:paraId="5052AB48" w14:textId="53ECC50A" w:rsidR="00C52CEE" w:rsidRPr="00812272" w:rsidRDefault="00C52CEE" w:rsidP="00C52CEE">
            <w:pPr>
              <w:spacing w:after="0" w:line="240" w:lineRule="auto"/>
              <w:jc w:val="center"/>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10.1%</w:t>
            </w:r>
          </w:p>
        </w:tc>
        <w:tc>
          <w:tcPr>
            <w:tcW w:w="1620" w:type="dxa"/>
            <w:gridSpan w:val="2"/>
            <w:shd w:val="clear" w:color="auto" w:fill="auto"/>
            <w:noWrap/>
            <w:vAlign w:val="center"/>
            <w:hideMark/>
          </w:tcPr>
          <w:p w14:paraId="0E81C1F3" w14:textId="3D4FFEA1" w:rsidR="00C52CEE" w:rsidRPr="00812272" w:rsidRDefault="00C52CEE" w:rsidP="00C52CEE">
            <w:pPr>
              <w:spacing w:after="0" w:line="240" w:lineRule="auto"/>
              <w:jc w:val="center"/>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46.3%</w:t>
            </w:r>
          </w:p>
        </w:tc>
        <w:tc>
          <w:tcPr>
            <w:tcW w:w="1031" w:type="dxa"/>
            <w:gridSpan w:val="3"/>
            <w:shd w:val="clear" w:color="auto" w:fill="auto"/>
            <w:noWrap/>
            <w:vAlign w:val="center"/>
            <w:hideMark/>
          </w:tcPr>
          <w:p w14:paraId="22FA441F" w14:textId="40E832D7"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24,602</w:t>
            </w:r>
          </w:p>
        </w:tc>
        <w:tc>
          <w:tcPr>
            <w:tcW w:w="1031" w:type="dxa"/>
            <w:gridSpan w:val="5"/>
            <w:shd w:val="clear" w:color="auto" w:fill="auto"/>
            <w:noWrap/>
            <w:vAlign w:val="center"/>
            <w:hideMark/>
          </w:tcPr>
          <w:p w14:paraId="76141F9E" w14:textId="26F33F78"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35,879</w:t>
            </w:r>
          </w:p>
        </w:tc>
        <w:tc>
          <w:tcPr>
            <w:tcW w:w="1032" w:type="dxa"/>
            <w:gridSpan w:val="4"/>
            <w:shd w:val="clear" w:color="auto" w:fill="auto"/>
            <w:noWrap/>
            <w:vAlign w:val="center"/>
            <w:hideMark/>
          </w:tcPr>
          <w:p w14:paraId="7D0DDFBD" w14:textId="5CD69E82"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57,406</w:t>
            </w:r>
          </w:p>
        </w:tc>
        <w:tc>
          <w:tcPr>
            <w:tcW w:w="1031" w:type="dxa"/>
            <w:gridSpan w:val="3"/>
            <w:shd w:val="clear" w:color="auto" w:fill="auto"/>
            <w:noWrap/>
            <w:vAlign w:val="center"/>
            <w:hideMark/>
          </w:tcPr>
          <w:p w14:paraId="184D52DE" w14:textId="308BB8BE"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89,184</w:t>
            </w:r>
          </w:p>
        </w:tc>
        <w:tc>
          <w:tcPr>
            <w:tcW w:w="1031" w:type="dxa"/>
            <w:gridSpan w:val="4"/>
            <w:shd w:val="clear" w:color="auto" w:fill="auto"/>
            <w:noWrap/>
            <w:vAlign w:val="center"/>
            <w:hideMark/>
          </w:tcPr>
          <w:p w14:paraId="6970D634" w14:textId="7B3B30DA"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141,120</w:t>
            </w:r>
          </w:p>
        </w:tc>
        <w:tc>
          <w:tcPr>
            <w:tcW w:w="1032" w:type="dxa"/>
            <w:shd w:val="clear" w:color="auto" w:fill="auto"/>
            <w:noWrap/>
            <w:vAlign w:val="center"/>
            <w:hideMark/>
          </w:tcPr>
          <w:p w14:paraId="28D674A4" w14:textId="28CE279D"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392,000</w:t>
            </w:r>
          </w:p>
        </w:tc>
        <w:tc>
          <w:tcPr>
            <w:tcW w:w="1296" w:type="dxa"/>
            <w:gridSpan w:val="2"/>
            <w:shd w:val="clear" w:color="auto" w:fill="auto"/>
            <w:noWrap/>
            <w:vAlign w:val="center"/>
            <w:hideMark/>
          </w:tcPr>
          <w:p w14:paraId="464572B2" w14:textId="07D274CD"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0.407</w:t>
            </w:r>
          </w:p>
        </w:tc>
      </w:tr>
      <w:tr w:rsidR="00C52CEE" w:rsidRPr="001937FE" w14:paraId="7476498C" w14:textId="77777777" w:rsidTr="0018258B">
        <w:trPr>
          <w:gridAfter w:val="2"/>
          <w:wAfter w:w="706" w:type="dxa"/>
          <w:trHeight w:val="310"/>
        </w:trPr>
        <w:tc>
          <w:tcPr>
            <w:tcW w:w="2970" w:type="dxa"/>
            <w:shd w:val="clear" w:color="auto" w:fill="auto"/>
            <w:noWrap/>
            <w:vAlign w:val="center"/>
            <w:hideMark/>
          </w:tcPr>
          <w:p w14:paraId="57DF21B6" w14:textId="77777777" w:rsidR="00C52CEE" w:rsidRPr="001937FE" w:rsidRDefault="00C52CEE" w:rsidP="00C52CEE">
            <w:pPr>
              <w:spacing w:after="0" w:line="240" w:lineRule="auto"/>
              <w:rPr>
                <w:rFonts w:ascii="Times New Roman" w:eastAsia="Times New Roman" w:hAnsi="Times New Roman" w:cs="Times New Roman"/>
                <w:i/>
                <w:iCs/>
                <w:color w:val="000000"/>
                <w:sz w:val="24"/>
                <w:szCs w:val="24"/>
              </w:rPr>
            </w:pPr>
            <w:r w:rsidRPr="001937FE">
              <w:rPr>
                <w:rFonts w:ascii="Times New Roman" w:eastAsia="Times New Roman" w:hAnsi="Times New Roman" w:cs="Times New Roman"/>
                <w:i/>
                <w:iCs/>
                <w:color w:val="000000"/>
                <w:sz w:val="24"/>
                <w:szCs w:val="24"/>
              </w:rPr>
              <w:t xml:space="preserve">     FTFY Women</w:t>
            </w:r>
          </w:p>
        </w:tc>
        <w:tc>
          <w:tcPr>
            <w:tcW w:w="900" w:type="dxa"/>
            <w:shd w:val="clear" w:color="auto" w:fill="auto"/>
            <w:noWrap/>
            <w:vAlign w:val="center"/>
            <w:hideMark/>
          </w:tcPr>
          <w:p w14:paraId="261D37A2" w14:textId="2FD789E1" w:rsidR="00C52CEE" w:rsidRPr="00812272" w:rsidRDefault="00C52CEE" w:rsidP="00C52CEE">
            <w:pPr>
              <w:spacing w:after="0" w:line="240" w:lineRule="auto"/>
              <w:jc w:val="center"/>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11.9%</w:t>
            </w:r>
          </w:p>
        </w:tc>
        <w:tc>
          <w:tcPr>
            <w:tcW w:w="1620" w:type="dxa"/>
            <w:gridSpan w:val="2"/>
            <w:shd w:val="clear" w:color="auto" w:fill="auto"/>
            <w:noWrap/>
            <w:vAlign w:val="center"/>
            <w:hideMark/>
          </w:tcPr>
          <w:p w14:paraId="49EC06A3" w14:textId="7AD1596C" w:rsidR="00C52CEE" w:rsidRPr="00812272" w:rsidRDefault="00C52CEE" w:rsidP="00C52CEE">
            <w:pPr>
              <w:spacing w:after="0" w:line="240" w:lineRule="auto"/>
              <w:jc w:val="center"/>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55.5%</w:t>
            </w:r>
          </w:p>
        </w:tc>
        <w:tc>
          <w:tcPr>
            <w:tcW w:w="1031" w:type="dxa"/>
            <w:gridSpan w:val="3"/>
            <w:shd w:val="clear" w:color="auto" w:fill="auto"/>
            <w:noWrap/>
            <w:vAlign w:val="center"/>
            <w:hideMark/>
          </w:tcPr>
          <w:p w14:paraId="7EC76B4F" w14:textId="4C607886"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20,502</w:t>
            </w:r>
          </w:p>
        </w:tc>
        <w:tc>
          <w:tcPr>
            <w:tcW w:w="1031" w:type="dxa"/>
            <w:gridSpan w:val="5"/>
            <w:shd w:val="clear" w:color="auto" w:fill="auto"/>
            <w:noWrap/>
            <w:vAlign w:val="center"/>
            <w:hideMark/>
          </w:tcPr>
          <w:p w14:paraId="436CBC92" w14:textId="2BFC82EC"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30,753</w:t>
            </w:r>
          </w:p>
        </w:tc>
        <w:tc>
          <w:tcPr>
            <w:tcW w:w="1032" w:type="dxa"/>
            <w:gridSpan w:val="4"/>
            <w:shd w:val="clear" w:color="auto" w:fill="auto"/>
            <w:noWrap/>
            <w:vAlign w:val="center"/>
            <w:hideMark/>
          </w:tcPr>
          <w:p w14:paraId="3D8B0515" w14:textId="11377433"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46,130</w:t>
            </w:r>
          </w:p>
        </w:tc>
        <w:tc>
          <w:tcPr>
            <w:tcW w:w="1031" w:type="dxa"/>
            <w:gridSpan w:val="3"/>
            <w:shd w:val="clear" w:color="auto" w:fill="auto"/>
            <w:noWrap/>
            <w:vAlign w:val="center"/>
            <w:hideMark/>
          </w:tcPr>
          <w:p w14:paraId="194EBA84" w14:textId="1771818D"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68,600</w:t>
            </w:r>
          </w:p>
        </w:tc>
        <w:tc>
          <w:tcPr>
            <w:tcW w:w="1031" w:type="dxa"/>
            <w:gridSpan w:val="4"/>
            <w:shd w:val="clear" w:color="auto" w:fill="auto"/>
            <w:noWrap/>
            <w:vAlign w:val="center"/>
            <w:hideMark/>
          </w:tcPr>
          <w:p w14:paraId="7C562328" w14:textId="7883BA76"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100,940</w:t>
            </w:r>
          </w:p>
        </w:tc>
        <w:tc>
          <w:tcPr>
            <w:tcW w:w="1032" w:type="dxa"/>
            <w:shd w:val="clear" w:color="auto" w:fill="auto"/>
            <w:noWrap/>
            <w:vAlign w:val="center"/>
            <w:hideMark/>
          </w:tcPr>
          <w:p w14:paraId="0F8FA122" w14:textId="70954291"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272,677</w:t>
            </w:r>
          </w:p>
        </w:tc>
        <w:tc>
          <w:tcPr>
            <w:tcW w:w="1296" w:type="dxa"/>
            <w:gridSpan w:val="2"/>
            <w:shd w:val="clear" w:color="auto" w:fill="auto"/>
            <w:noWrap/>
            <w:vAlign w:val="center"/>
            <w:hideMark/>
          </w:tcPr>
          <w:p w14:paraId="14254289" w14:textId="29279EB3"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0.379</w:t>
            </w:r>
          </w:p>
        </w:tc>
      </w:tr>
      <w:tr w:rsidR="00C52CEE" w:rsidRPr="001937FE" w14:paraId="61C3C9B5" w14:textId="77777777" w:rsidTr="0018258B">
        <w:trPr>
          <w:gridAfter w:val="2"/>
          <w:wAfter w:w="706" w:type="dxa"/>
          <w:trHeight w:val="310"/>
        </w:trPr>
        <w:tc>
          <w:tcPr>
            <w:tcW w:w="2970" w:type="dxa"/>
            <w:shd w:val="clear" w:color="auto" w:fill="auto"/>
            <w:noWrap/>
            <w:vAlign w:val="center"/>
            <w:hideMark/>
          </w:tcPr>
          <w:p w14:paraId="78F08082" w14:textId="77777777" w:rsidR="00C52CEE" w:rsidRPr="001937FE" w:rsidRDefault="00C52CEE" w:rsidP="00C52CEE">
            <w:pPr>
              <w:spacing w:after="0" w:line="240" w:lineRule="auto"/>
              <w:rPr>
                <w:rFonts w:ascii="Times New Roman" w:eastAsia="Times New Roman" w:hAnsi="Times New Roman" w:cs="Times New Roman"/>
                <w:i/>
                <w:iCs/>
                <w:color w:val="000000"/>
                <w:sz w:val="24"/>
                <w:szCs w:val="24"/>
              </w:rPr>
            </w:pPr>
            <w:r w:rsidRPr="001937FE">
              <w:rPr>
                <w:rFonts w:ascii="Times New Roman" w:eastAsia="Times New Roman" w:hAnsi="Times New Roman" w:cs="Times New Roman"/>
                <w:i/>
                <w:iCs/>
                <w:color w:val="000000"/>
                <w:sz w:val="24"/>
                <w:szCs w:val="24"/>
              </w:rPr>
              <w:t xml:space="preserve">     All Men</w:t>
            </w:r>
          </w:p>
        </w:tc>
        <w:tc>
          <w:tcPr>
            <w:tcW w:w="900" w:type="dxa"/>
            <w:shd w:val="clear" w:color="auto" w:fill="auto"/>
            <w:noWrap/>
            <w:vAlign w:val="center"/>
            <w:hideMark/>
          </w:tcPr>
          <w:p w14:paraId="3D7EF6C9" w14:textId="700013C3" w:rsidR="00C52CEE" w:rsidRPr="00812272" w:rsidRDefault="00C52CEE" w:rsidP="00C52CEE">
            <w:pPr>
              <w:spacing w:after="0" w:line="240" w:lineRule="auto"/>
              <w:jc w:val="center"/>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9.6%</w:t>
            </w:r>
          </w:p>
        </w:tc>
        <w:tc>
          <w:tcPr>
            <w:tcW w:w="1620" w:type="dxa"/>
            <w:gridSpan w:val="2"/>
            <w:shd w:val="clear" w:color="auto" w:fill="auto"/>
            <w:noWrap/>
            <w:vAlign w:val="center"/>
            <w:hideMark/>
          </w:tcPr>
          <w:p w14:paraId="4ACE44BA" w14:textId="089AA4E7" w:rsidR="00C52CEE" w:rsidRPr="00812272" w:rsidRDefault="00C52CEE" w:rsidP="00C52CEE">
            <w:pPr>
              <w:spacing w:after="0" w:line="240" w:lineRule="auto"/>
              <w:jc w:val="center"/>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48.</w:t>
            </w:r>
            <w:r w:rsidR="00402886">
              <w:rPr>
                <w:rFonts w:ascii="Times New Roman" w:hAnsi="Times New Roman" w:cs="Times New Roman"/>
                <w:color w:val="000000"/>
                <w:sz w:val="24"/>
                <w:szCs w:val="24"/>
              </w:rPr>
              <w:t>4</w:t>
            </w:r>
            <w:r w:rsidRPr="004B26C9">
              <w:rPr>
                <w:rFonts w:ascii="Times New Roman" w:hAnsi="Times New Roman" w:cs="Times New Roman"/>
                <w:color w:val="000000"/>
                <w:sz w:val="24"/>
                <w:szCs w:val="24"/>
              </w:rPr>
              <w:t>%</w:t>
            </w:r>
          </w:p>
        </w:tc>
        <w:tc>
          <w:tcPr>
            <w:tcW w:w="1031" w:type="dxa"/>
            <w:gridSpan w:val="3"/>
            <w:shd w:val="clear" w:color="auto" w:fill="auto"/>
            <w:noWrap/>
            <w:vAlign w:val="center"/>
            <w:hideMark/>
          </w:tcPr>
          <w:p w14:paraId="662F66E3" w14:textId="68C03A04"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0</w:t>
            </w:r>
          </w:p>
        </w:tc>
        <w:tc>
          <w:tcPr>
            <w:tcW w:w="1031" w:type="dxa"/>
            <w:gridSpan w:val="5"/>
            <w:shd w:val="clear" w:color="auto" w:fill="auto"/>
            <w:noWrap/>
            <w:vAlign w:val="center"/>
            <w:hideMark/>
          </w:tcPr>
          <w:p w14:paraId="438B1211" w14:textId="30B17F2F"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24</w:t>
            </w:r>
            <w:r w:rsidR="000913C8">
              <w:rPr>
                <w:rFonts w:ascii="Times New Roman" w:hAnsi="Times New Roman" w:cs="Times New Roman"/>
                <w:color w:val="000000"/>
                <w:sz w:val="24"/>
                <w:szCs w:val="24"/>
              </w:rPr>
              <w:t>,</w:t>
            </w:r>
            <w:r w:rsidRPr="004B26C9">
              <w:rPr>
                <w:rFonts w:ascii="Times New Roman" w:hAnsi="Times New Roman" w:cs="Times New Roman"/>
                <w:color w:val="000000"/>
                <w:sz w:val="24"/>
                <w:szCs w:val="24"/>
              </w:rPr>
              <w:t>000</w:t>
            </w:r>
          </w:p>
        </w:tc>
        <w:tc>
          <w:tcPr>
            <w:tcW w:w="1032" w:type="dxa"/>
            <w:gridSpan w:val="4"/>
            <w:shd w:val="clear" w:color="auto" w:fill="auto"/>
            <w:noWrap/>
            <w:vAlign w:val="center"/>
            <w:hideMark/>
          </w:tcPr>
          <w:p w14:paraId="4940FCD4" w14:textId="6519FAA5"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48</w:t>
            </w:r>
            <w:r w:rsidR="000913C8">
              <w:rPr>
                <w:rFonts w:ascii="Times New Roman" w:hAnsi="Times New Roman" w:cs="Times New Roman"/>
                <w:color w:val="000000"/>
                <w:sz w:val="24"/>
                <w:szCs w:val="24"/>
              </w:rPr>
              <w:t>,</w:t>
            </w:r>
            <w:r w:rsidRPr="004B26C9">
              <w:rPr>
                <w:rFonts w:ascii="Times New Roman" w:hAnsi="Times New Roman" w:cs="Times New Roman"/>
                <w:color w:val="000000"/>
                <w:sz w:val="24"/>
                <w:szCs w:val="24"/>
              </w:rPr>
              <w:t>000</w:t>
            </w:r>
          </w:p>
        </w:tc>
        <w:tc>
          <w:tcPr>
            <w:tcW w:w="1031" w:type="dxa"/>
            <w:gridSpan w:val="3"/>
            <w:shd w:val="clear" w:color="auto" w:fill="auto"/>
            <w:noWrap/>
            <w:vAlign w:val="center"/>
            <w:hideMark/>
          </w:tcPr>
          <w:p w14:paraId="5D302502" w14:textId="5C55DD5C"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81</w:t>
            </w:r>
            <w:r w:rsidR="000913C8">
              <w:rPr>
                <w:rFonts w:ascii="Times New Roman" w:hAnsi="Times New Roman" w:cs="Times New Roman"/>
                <w:color w:val="000000"/>
                <w:sz w:val="24"/>
                <w:szCs w:val="24"/>
              </w:rPr>
              <w:t>,</w:t>
            </w:r>
            <w:r w:rsidRPr="004B26C9">
              <w:rPr>
                <w:rFonts w:ascii="Times New Roman" w:hAnsi="Times New Roman" w:cs="Times New Roman"/>
                <w:color w:val="000000"/>
                <w:sz w:val="24"/>
                <w:szCs w:val="24"/>
              </w:rPr>
              <w:t>600</w:t>
            </w:r>
          </w:p>
        </w:tc>
        <w:tc>
          <w:tcPr>
            <w:tcW w:w="1031" w:type="dxa"/>
            <w:gridSpan w:val="4"/>
            <w:shd w:val="clear" w:color="auto" w:fill="auto"/>
            <w:noWrap/>
            <w:vAlign w:val="center"/>
            <w:hideMark/>
          </w:tcPr>
          <w:p w14:paraId="1B08AF52" w14:textId="121F7846"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128</w:t>
            </w:r>
            <w:r w:rsidR="000913C8">
              <w:rPr>
                <w:rFonts w:ascii="Times New Roman" w:hAnsi="Times New Roman" w:cs="Times New Roman"/>
                <w:color w:val="000000"/>
                <w:sz w:val="24"/>
                <w:szCs w:val="24"/>
              </w:rPr>
              <w:t>,</w:t>
            </w:r>
            <w:r w:rsidRPr="004B26C9">
              <w:rPr>
                <w:rFonts w:ascii="Times New Roman" w:hAnsi="Times New Roman" w:cs="Times New Roman"/>
                <w:color w:val="000000"/>
                <w:sz w:val="24"/>
                <w:szCs w:val="24"/>
              </w:rPr>
              <w:t>050</w:t>
            </w:r>
          </w:p>
        </w:tc>
        <w:tc>
          <w:tcPr>
            <w:tcW w:w="1032" w:type="dxa"/>
            <w:shd w:val="clear" w:color="auto" w:fill="auto"/>
            <w:noWrap/>
            <w:vAlign w:val="center"/>
            <w:hideMark/>
          </w:tcPr>
          <w:p w14:paraId="373A9E5A" w14:textId="68DA19DF"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355</w:t>
            </w:r>
            <w:r w:rsidR="000913C8">
              <w:rPr>
                <w:rFonts w:ascii="Times New Roman" w:hAnsi="Times New Roman" w:cs="Times New Roman"/>
                <w:color w:val="000000"/>
                <w:sz w:val="24"/>
                <w:szCs w:val="24"/>
              </w:rPr>
              <w:t>,</w:t>
            </w:r>
            <w:r w:rsidRPr="004B26C9">
              <w:rPr>
                <w:rFonts w:ascii="Times New Roman" w:hAnsi="Times New Roman" w:cs="Times New Roman"/>
                <w:color w:val="000000"/>
                <w:sz w:val="24"/>
                <w:szCs w:val="24"/>
              </w:rPr>
              <w:t>200</w:t>
            </w:r>
          </w:p>
        </w:tc>
        <w:tc>
          <w:tcPr>
            <w:tcW w:w="1296" w:type="dxa"/>
            <w:gridSpan w:val="2"/>
            <w:shd w:val="clear" w:color="auto" w:fill="auto"/>
            <w:noWrap/>
            <w:vAlign w:val="center"/>
            <w:hideMark/>
          </w:tcPr>
          <w:p w14:paraId="5ED9BA0F" w14:textId="72D6CB28"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0.503</w:t>
            </w:r>
          </w:p>
        </w:tc>
      </w:tr>
      <w:tr w:rsidR="00C52CEE" w:rsidRPr="001937FE" w14:paraId="4B420832" w14:textId="77777777" w:rsidTr="0018258B">
        <w:trPr>
          <w:gridAfter w:val="2"/>
          <w:wAfter w:w="706" w:type="dxa"/>
          <w:trHeight w:val="300"/>
        </w:trPr>
        <w:tc>
          <w:tcPr>
            <w:tcW w:w="5490" w:type="dxa"/>
            <w:gridSpan w:val="4"/>
            <w:tcBorders>
              <w:left w:val="nil"/>
              <w:bottom w:val="nil"/>
              <w:right w:val="nil"/>
            </w:tcBorders>
            <w:shd w:val="clear" w:color="auto" w:fill="auto"/>
            <w:noWrap/>
            <w:vAlign w:val="bottom"/>
            <w:hideMark/>
          </w:tcPr>
          <w:p w14:paraId="2F1E130D" w14:textId="25F0B918" w:rsidR="00C52CEE" w:rsidRPr="00812272" w:rsidRDefault="00C52CEE" w:rsidP="00C52CEE">
            <w:pPr>
              <w:spacing w:after="0" w:line="240" w:lineRule="auto"/>
              <w:rPr>
                <w:rFonts w:ascii="Times New Roman" w:eastAsia="Times New Roman" w:hAnsi="Times New Roman" w:cs="Times New Roman"/>
                <w:b/>
                <w:bCs/>
                <w:color w:val="000000"/>
                <w:sz w:val="24"/>
                <w:szCs w:val="24"/>
              </w:rPr>
            </w:pPr>
            <w:r w:rsidRPr="00C52CEE">
              <w:rPr>
                <w:rFonts w:ascii="Times New Roman" w:eastAsia="Times New Roman" w:hAnsi="Times New Roman" w:cs="Times New Roman"/>
                <w:b/>
                <w:bCs/>
                <w:color w:val="000000"/>
                <w:sz w:val="24"/>
                <w:szCs w:val="24"/>
              </w:rPr>
              <w:t xml:space="preserve">Panel C: </w:t>
            </w:r>
            <w:r w:rsidRPr="00812272">
              <w:rPr>
                <w:rFonts w:ascii="Times New Roman" w:eastAsia="Times New Roman" w:hAnsi="Times New Roman" w:cs="Times New Roman"/>
                <w:b/>
                <w:bCs/>
                <w:color w:val="000000"/>
                <w:sz w:val="24"/>
                <w:szCs w:val="24"/>
              </w:rPr>
              <w:t>Simulation 2</w:t>
            </w:r>
          </w:p>
        </w:tc>
        <w:tc>
          <w:tcPr>
            <w:tcW w:w="1031" w:type="dxa"/>
            <w:gridSpan w:val="3"/>
            <w:tcBorders>
              <w:left w:val="nil"/>
              <w:bottom w:val="nil"/>
              <w:right w:val="nil"/>
            </w:tcBorders>
            <w:shd w:val="clear" w:color="auto" w:fill="auto"/>
            <w:noWrap/>
            <w:vAlign w:val="bottom"/>
            <w:hideMark/>
          </w:tcPr>
          <w:p w14:paraId="2FCD9B96" w14:textId="77777777" w:rsidR="00C52CEE" w:rsidRPr="00C52CEE" w:rsidRDefault="00C52CEE" w:rsidP="00C52CEE">
            <w:pPr>
              <w:spacing w:after="0" w:line="240" w:lineRule="auto"/>
              <w:rPr>
                <w:rFonts w:ascii="Times New Roman" w:eastAsia="Times New Roman" w:hAnsi="Times New Roman" w:cs="Times New Roman"/>
                <w:b/>
                <w:bCs/>
                <w:color w:val="000000"/>
                <w:sz w:val="24"/>
                <w:szCs w:val="24"/>
              </w:rPr>
            </w:pPr>
          </w:p>
        </w:tc>
        <w:tc>
          <w:tcPr>
            <w:tcW w:w="1031" w:type="dxa"/>
            <w:gridSpan w:val="5"/>
            <w:tcBorders>
              <w:left w:val="nil"/>
              <w:bottom w:val="nil"/>
              <w:right w:val="nil"/>
            </w:tcBorders>
            <w:shd w:val="clear" w:color="auto" w:fill="auto"/>
            <w:noWrap/>
            <w:vAlign w:val="bottom"/>
            <w:hideMark/>
          </w:tcPr>
          <w:p w14:paraId="7DD6965D" w14:textId="77777777" w:rsidR="00C52CEE" w:rsidRPr="00C52CEE" w:rsidRDefault="00C52CEE" w:rsidP="00C52CEE">
            <w:pPr>
              <w:spacing w:after="0" w:line="240" w:lineRule="auto"/>
              <w:rPr>
                <w:rFonts w:ascii="Times New Roman" w:eastAsia="Times New Roman" w:hAnsi="Times New Roman" w:cs="Times New Roman"/>
                <w:sz w:val="24"/>
                <w:szCs w:val="24"/>
              </w:rPr>
            </w:pPr>
          </w:p>
        </w:tc>
        <w:tc>
          <w:tcPr>
            <w:tcW w:w="1032" w:type="dxa"/>
            <w:gridSpan w:val="4"/>
            <w:tcBorders>
              <w:left w:val="nil"/>
              <w:bottom w:val="nil"/>
              <w:right w:val="nil"/>
            </w:tcBorders>
            <w:shd w:val="clear" w:color="auto" w:fill="auto"/>
            <w:noWrap/>
            <w:vAlign w:val="bottom"/>
            <w:hideMark/>
          </w:tcPr>
          <w:p w14:paraId="2C537BED" w14:textId="77777777" w:rsidR="00C52CEE" w:rsidRPr="00C52CEE" w:rsidRDefault="00C52CEE" w:rsidP="00C52CEE">
            <w:pPr>
              <w:spacing w:after="0" w:line="240" w:lineRule="auto"/>
              <w:rPr>
                <w:rFonts w:ascii="Times New Roman" w:eastAsia="Times New Roman" w:hAnsi="Times New Roman" w:cs="Times New Roman"/>
                <w:sz w:val="24"/>
                <w:szCs w:val="24"/>
              </w:rPr>
            </w:pPr>
          </w:p>
        </w:tc>
        <w:tc>
          <w:tcPr>
            <w:tcW w:w="1031" w:type="dxa"/>
            <w:gridSpan w:val="3"/>
            <w:tcBorders>
              <w:left w:val="nil"/>
              <w:bottom w:val="nil"/>
              <w:right w:val="nil"/>
            </w:tcBorders>
            <w:shd w:val="clear" w:color="auto" w:fill="auto"/>
            <w:noWrap/>
            <w:vAlign w:val="bottom"/>
            <w:hideMark/>
          </w:tcPr>
          <w:p w14:paraId="19C5FC9B" w14:textId="77777777" w:rsidR="00C52CEE" w:rsidRPr="00C52CEE" w:rsidRDefault="00C52CEE" w:rsidP="00C52CEE">
            <w:pPr>
              <w:spacing w:after="0" w:line="240" w:lineRule="auto"/>
              <w:rPr>
                <w:rFonts w:ascii="Times New Roman" w:eastAsia="Times New Roman" w:hAnsi="Times New Roman" w:cs="Times New Roman"/>
                <w:sz w:val="24"/>
                <w:szCs w:val="24"/>
              </w:rPr>
            </w:pPr>
          </w:p>
        </w:tc>
        <w:tc>
          <w:tcPr>
            <w:tcW w:w="1031" w:type="dxa"/>
            <w:gridSpan w:val="4"/>
            <w:tcBorders>
              <w:left w:val="nil"/>
              <w:bottom w:val="nil"/>
              <w:right w:val="nil"/>
            </w:tcBorders>
            <w:shd w:val="clear" w:color="auto" w:fill="auto"/>
            <w:noWrap/>
            <w:vAlign w:val="bottom"/>
            <w:hideMark/>
          </w:tcPr>
          <w:p w14:paraId="5B78810D" w14:textId="77777777" w:rsidR="00C52CEE" w:rsidRPr="00C52CEE" w:rsidRDefault="00C52CEE" w:rsidP="00C52CEE">
            <w:pPr>
              <w:spacing w:after="0" w:line="240" w:lineRule="auto"/>
              <w:rPr>
                <w:rFonts w:ascii="Times New Roman" w:eastAsia="Times New Roman" w:hAnsi="Times New Roman" w:cs="Times New Roman"/>
                <w:sz w:val="24"/>
                <w:szCs w:val="24"/>
              </w:rPr>
            </w:pPr>
          </w:p>
        </w:tc>
        <w:tc>
          <w:tcPr>
            <w:tcW w:w="1032" w:type="dxa"/>
            <w:tcBorders>
              <w:left w:val="nil"/>
              <w:bottom w:val="nil"/>
              <w:right w:val="nil"/>
            </w:tcBorders>
            <w:shd w:val="clear" w:color="auto" w:fill="auto"/>
            <w:noWrap/>
            <w:vAlign w:val="bottom"/>
            <w:hideMark/>
          </w:tcPr>
          <w:p w14:paraId="38FBB926" w14:textId="77777777" w:rsidR="00C52CEE" w:rsidRPr="00C52CEE" w:rsidRDefault="00C52CEE" w:rsidP="00C52CEE">
            <w:pPr>
              <w:spacing w:after="0" w:line="240" w:lineRule="auto"/>
              <w:rPr>
                <w:rFonts w:ascii="Times New Roman" w:eastAsia="Times New Roman" w:hAnsi="Times New Roman" w:cs="Times New Roman"/>
                <w:sz w:val="24"/>
                <w:szCs w:val="24"/>
              </w:rPr>
            </w:pPr>
          </w:p>
        </w:tc>
        <w:tc>
          <w:tcPr>
            <w:tcW w:w="1296" w:type="dxa"/>
            <w:gridSpan w:val="2"/>
            <w:tcBorders>
              <w:left w:val="nil"/>
              <w:bottom w:val="nil"/>
              <w:right w:val="nil"/>
            </w:tcBorders>
            <w:shd w:val="clear" w:color="auto" w:fill="auto"/>
            <w:noWrap/>
            <w:vAlign w:val="bottom"/>
            <w:hideMark/>
          </w:tcPr>
          <w:p w14:paraId="2BFAB016" w14:textId="77777777" w:rsidR="00C52CEE" w:rsidRPr="00C52CEE" w:rsidRDefault="00C52CEE" w:rsidP="00C52CEE">
            <w:pPr>
              <w:spacing w:after="0" w:line="240" w:lineRule="auto"/>
              <w:rPr>
                <w:rFonts w:ascii="Times New Roman" w:eastAsia="Times New Roman" w:hAnsi="Times New Roman" w:cs="Times New Roman"/>
                <w:sz w:val="24"/>
                <w:szCs w:val="24"/>
              </w:rPr>
            </w:pPr>
          </w:p>
        </w:tc>
      </w:tr>
      <w:tr w:rsidR="00C52CEE" w:rsidRPr="001937FE" w14:paraId="2CDE2A65" w14:textId="77777777" w:rsidTr="0018258B">
        <w:trPr>
          <w:gridAfter w:val="2"/>
          <w:wAfter w:w="706" w:type="dxa"/>
          <w:trHeight w:val="310"/>
        </w:trPr>
        <w:tc>
          <w:tcPr>
            <w:tcW w:w="2970" w:type="dxa"/>
            <w:tcBorders>
              <w:top w:val="nil"/>
              <w:left w:val="nil"/>
              <w:bottom w:val="nil"/>
              <w:right w:val="nil"/>
            </w:tcBorders>
            <w:shd w:val="clear" w:color="auto" w:fill="auto"/>
            <w:noWrap/>
            <w:vAlign w:val="center"/>
            <w:hideMark/>
          </w:tcPr>
          <w:p w14:paraId="3F413597" w14:textId="77777777" w:rsidR="00C52CEE" w:rsidRPr="001937FE" w:rsidRDefault="00C52CEE" w:rsidP="00C52CEE">
            <w:pPr>
              <w:spacing w:after="0" w:line="240" w:lineRule="auto"/>
              <w:rPr>
                <w:rFonts w:ascii="Times New Roman" w:eastAsia="Times New Roman" w:hAnsi="Times New Roman" w:cs="Times New Roman"/>
                <w:i/>
                <w:iCs/>
                <w:color w:val="000000"/>
                <w:sz w:val="24"/>
                <w:szCs w:val="24"/>
              </w:rPr>
            </w:pPr>
            <w:r w:rsidRPr="001937FE">
              <w:rPr>
                <w:rFonts w:ascii="Times New Roman" w:eastAsia="Times New Roman" w:hAnsi="Times New Roman" w:cs="Times New Roman"/>
                <w:i/>
                <w:iCs/>
                <w:color w:val="000000"/>
                <w:sz w:val="24"/>
                <w:szCs w:val="24"/>
              </w:rPr>
              <w:t xml:space="preserve">     FTFY Men and Women</w:t>
            </w:r>
          </w:p>
        </w:tc>
        <w:tc>
          <w:tcPr>
            <w:tcW w:w="900" w:type="dxa"/>
            <w:tcBorders>
              <w:top w:val="nil"/>
              <w:left w:val="nil"/>
              <w:bottom w:val="nil"/>
              <w:right w:val="nil"/>
            </w:tcBorders>
            <w:shd w:val="clear" w:color="auto" w:fill="auto"/>
            <w:noWrap/>
            <w:vAlign w:val="center"/>
            <w:hideMark/>
          </w:tcPr>
          <w:p w14:paraId="43B1AA03" w14:textId="353CA010" w:rsidR="00C52CEE" w:rsidRPr="00812272" w:rsidRDefault="00C52CEE" w:rsidP="00C52CEE">
            <w:pPr>
              <w:spacing w:after="0" w:line="240" w:lineRule="auto"/>
              <w:jc w:val="center"/>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15.2%</w:t>
            </w:r>
          </w:p>
        </w:tc>
        <w:tc>
          <w:tcPr>
            <w:tcW w:w="1620" w:type="dxa"/>
            <w:gridSpan w:val="2"/>
            <w:tcBorders>
              <w:top w:val="nil"/>
              <w:left w:val="nil"/>
              <w:bottom w:val="nil"/>
              <w:right w:val="nil"/>
            </w:tcBorders>
            <w:shd w:val="clear" w:color="auto" w:fill="auto"/>
            <w:noWrap/>
            <w:vAlign w:val="center"/>
            <w:hideMark/>
          </w:tcPr>
          <w:p w14:paraId="11D40BDC" w14:textId="20F464A7" w:rsidR="00C52CEE" w:rsidRPr="00812272" w:rsidRDefault="00C52CEE" w:rsidP="00C52CEE">
            <w:pPr>
              <w:spacing w:after="0" w:line="240" w:lineRule="auto"/>
              <w:jc w:val="center"/>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50.3%</w:t>
            </w:r>
          </w:p>
        </w:tc>
        <w:tc>
          <w:tcPr>
            <w:tcW w:w="1031" w:type="dxa"/>
            <w:gridSpan w:val="3"/>
            <w:tcBorders>
              <w:top w:val="nil"/>
              <w:left w:val="nil"/>
              <w:bottom w:val="nil"/>
              <w:right w:val="nil"/>
            </w:tcBorders>
            <w:shd w:val="clear" w:color="auto" w:fill="auto"/>
            <w:noWrap/>
            <w:vAlign w:val="center"/>
            <w:hideMark/>
          </w:tcPr>
          <w:p w14:paraId="0ED7B770" w14:textId="5AC62A04"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23,520</w:t>
            </w:r>
          </w:p>
        </w:tc>
        <w:tc>
          <w:tcPr>
            <w:tcW w:w="1031" w:type="dxa"/>
            <w:gridSpan w:val="5"/>
            <w:tcBorders>
              <w:top w:val="nil"/>
              <w:left w:val="nil"/>
              <w:bottom w:val="nil"/>
              <w:right w:val="nil"/>
            </w:tcBorders>
            <w:shd w:val="clear" w:color="auto" w:fill="auto"/>
            <w:noWrap/>
            <w:vAlign w:val="center"/>
            <w:hideMark/>
          </w:tcPr>
          <w:p w14:paraId="04A5063A" w14:textId="7F46C300"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34,300</w:t>
            </w:r>
          </w:p>
        </w:tc>
        <w:tc>
          <w:tcPr>
            <w:tcW w:w="1032" w:type="dxa"/>
            <w:gridSpan w:val="4"/>
            <w:tcBorders>
              <w:top w:val="nil"/>
              <w:left w:val="nil"/>
              <w:bottom w:val="nil"/>
              <w:right w:val="nil"/>
            </w:tcBorders>
            <w:shd w:val="clear" w:color="auto" w:fill="auto"/>
            <w:noWrap/>
            <w:vAlign w:val="center"/>
            <w:hideMark/>
          </w:tcPr>
          <w:p w14:paraId="49EC9DEF" w14:textId="58B3D840"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52,785</w:t>
            </w:r>
          </w:p>
        </w:tc>
        <w:tc>
          <w:tcPr>
            <w:tcW w:w="1031" w:type="dxa"/>
            <w:gridSpan w:val="3"/>
            <w:tcBorders>
              <w:top w:val="nil"/>
              <w:left w:val="nil"/>
              <w:bottom w:val="nil"/>
              <w:right w:val="nil"/>
            </w:tcBorders>
            <w:shd w:val="clear" w:color="auto" w:fill="auto"/>
            <w:noWrap/>
            <w:vAlign w:val="center"/>
            <w:hideMark/>
          </w:tcPr>
          <w:p w14:paraId="1573C2E0" w14:textId="067BF5D5"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79,178</w:t>
            </w:r>
          </w:p>
        </w:tc>
        <w:tc>
          <w:tcPr>
            <w:tcW w:w="1031" w:type="dxa"/>
            <w:gridSpan w:val="4"/>
            <w:tcBorders>
              <w:top w:val="nil"/>
              <w:left w:val="nil"/>
              <w:bottom w:val="nil"/>
              <w:right w:val="nil"/>
            </w:tcBorders>
            <w:shd w:val="clear" w:color="auto" w:fill="auto"/>
            <w:noWrap/>
            <w:vAlign w:val="center"/>
            <w:hideMark/>
          </w:tcPr>
          <w:p w14:paraId="1507D82E" w14:textId="5C92930A"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122,500</w:t>
            </w:r>
          </w:p>
        </w:tc>
        <w:tc>
          <w:tcPr>
            <w:tcW w:w="1032" w:type="dxa"/>
            <w:tcBorders>
              <w:top w:val="nil"/>
              <w:left w:val="nil"/>
              <w:bottom w:val="nil"/>
              <w:right w:val="nil"/>
            </w:tcBorders>
            <w:shd w:val="clear" w:color="auto" w:fill="auto"/>
            <w:noWrap/>
            <w:vAlign w:val="center"/>
            <w:hideMark/>
          </w:tcPr>
          <w:p w14:paraId="68FD1727" w14:textId="7E1FDC57"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343,000</w:t>
            </w:r>
          </w:p>
        </w:tc>
        <w:tc>
          <w:tcPr>
            <w:tcW w:w="1296" w:type="dxa"/>
            <w:gridSpan w:val="2"/>
            <w:tcBorders>
              <w:top w:val="nil"/>
              <w:left w:val="nil"/>
              <w:bottom w:val="nil"/>
              <w:right w:val="nil"/>
            </w:tcBorders>
            <w:shd w:val="clear" w:color="auto" w:fill="auto"/>
            <w:noWrap/>
            <w:vAlign w:val="center"/>
            <w:hideMark/>
          </w:tcPr>
          <w:p w14:paraId="506E2715" w14:textId="27550386"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0.397</w:t>
            </w:r>
          </w:p>
        </w:tc>
      </w:tr>
      <w:tr w:rsidR="00C52CEE" w:rsidRPr="001937FE" w14:paraId="10A8CD61" w14:textId="77777777" w:rsidTr="0018258B">
        <w:trPr>
          <w:gridAfter w:val="2"/>
          <w:wAfter w:w="706" w:type="dxa"/>
          <w:trHeight w:val="310"/>
        </w:trPr>
        <w:tc>
          <w:tcPr>
            <w:tcW w:w="2970" w:type="dxa"/>
            <w:tcBorders>
              <w:top w:val="nil"/>
              <w:left w:val="nil"/>
              <w:bottom w:val="nil"/>
              <w:right w:val="nil"/>
            </w:tcBorders>
            <w:shd w:val="clear" w:color="auto" w:fill="auto"/>
            <w:noWrap/>
            <w:vAlign w:val="center"/>
            <w:hideMark/>
          </w:tcPr>
          <w:p w14:paraId="620D2F65" w14:textId="77777777" w:rsidR="00C52CEE" w:rsidRPr="001937FE" w:rsidRDefault="00C52CEE" w:rsidP="00C52CEE">
            <w:pPr>
              <w:spacing w:after="0" w:line="240" w:lineRule="auto"/>
              <w:rPr>
                <w:rFonts w:ascii="Times New Roman" w:eastAsia="Times New Roman" w:hAnsi="Times New Roman" w:cs="Times New Roman"/>
                <w:i/>
                <w:iCs/>
                <w:color w:val="000000"/>
                <w:sz w:val="24"/>
                <w:szCs w:val="24"/>
              </w:rPr>
            </w:pPr>
            <w:r w:rsidRPr="001937FE">
              <w:rPr>
                <w:rFonts w:ascii="Times New Roman" w:eastAsia="Times New Roman" w:hAnsi="Times New Roman" w:cs="Times New Roman"/>
                <w:i/>
                <w:iCs/>
                <w:color w:val="000000"/>
                <w:sz w:val="24"/>
                <w:szCs w:val="24"/>
              </w:rPr>
              <w:t xml:space="preserve">     FTFY Men</w:t>
            </w:r>
          </w:p>
        </w:tc>
        <w:tc>
          <w:tcPr>
            <w:tcW w:w="900" w:type="dxa"/>
            <w:tcBorders>
              <w:top w:val="nil"/>
              <w:left w:val="nil"/>
              <w:bottom w:val="nil"/>
              <w:right w:val="nil"/>
            </w:tcBorders>
            <w:shd w:val="clear" w:color="auto" w:fill="auto"/>
            <w:noWrap/>
            <w:vAlign w:val="center"/>
            <w:hideMark/>
          </w:tcPr>
          <w:p w14:paraId="2EE01334" w14:textId="0374E05C" w:rsidR="00C52CEE" w:rsidRPr="00812272" w:rsidRDefault="00C52CEE" w:rsidP="00C52CEE">
            <w:pPr>
              <w:spacing w:after="0" w:line="240" w:lineRule="auto"/>
              <w:jc w:val="center"/>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14.8%</w:t>
            </w:r>
          </w:p>
        </w:tc>
        <w:tc>
          <w:tcPr>
            <w:tcW w:w="1620" w:type="dxa"/>
            <w:gridSpan w:val="2"/>
            <w:tcBorders>
              <w:top w:val="nil"/>
              <w:left w:val="nil"/>
              <w:bottom w:val="nil"/>
              <w:right w:val="nil"/>
            </w:tcBorders>
            <w:shd w:val="clear" w:color="auto" w:fill="auto"/>
            <w:noWrap/>
            <w:vAlign w:val="center"/>
            <w:hideMark/>
          </w:tcPr>
          <w:p w14:paraId="654D7FBD" w14:textId="35CFD123" w:rsidR="00C52CEE" w:rsidRPr="00812272" w:rsidRDefault="00C52CEE" w:rsidP="00C52CEE">
            <w:pPr>
              <w:spacing w:after="0" w:line="240" w:lineRule="auto"/>
              <w:jc w:val="center"/>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46.3%</w:t>
            </w:r>
          </w:p>
        </w:tc>
        <w:tc>
          <w:tcPr>
            <w:tcW w:w="1031" w:type="dxa"/>
            <w:gridSpan w:val="3"/>
            <w:tcBorders>
              <w:top w:val="nil"/>
              <w:left w:val="nil"/>
              <w:bottom w:val="nil"/>
              <w:right w:val="nil"/>
            </w:tcBorders>
            <w:shd w:val="clear" w:color="auto" w:fill="auto"/>
            <w:noWrap/>
            <w:vAlign w:val="center"/>
            <w:hideMark/>
          </w:tcPr>
          <w:p w14:paraId="692A6B4C" w14:textId="0096E989"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25,337</w:t>
            </w:r>
          </w:p>
        </w:tc>
        <w:tc>
          <w:tcPr>
            <w:tcW w:w="1031" w:type="dxa"/>
            <w:gridSpan w:val="5"/>
            <w:tcBorders>
              <w:top w:val="nil"/>
              <w:left w:val="nil"/>
              <w:bottom w:val="nil"/>
              <w:right w:val="nil"/>
            </w:tcBorders>
            <w:shd w:val="clear" w:color="auto" w:fill="auto"/>
            <w:noWrap/>
            <w:vAlign w:val="center"/>
            <w:hideMark/>
          </w:tcPr>
          <w:p w14:paraId="1B632332" w14:textId="3889DAA0"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36,950</w:t>
            </w:r>
          </w:p>
        </w:tc>
        <w:tc>
          <w:tcPr>
            <w:tcW w:w="1032" w:type="dxa"/>
            <w:gridSpan w:val="4"/>
            <w:tcBorders>
              <w:top w:val="nil"/>
              <w:left w:val="nil"/>
              <w:bottom w:val="nil"/>
              <w:right w:val="nil"/>
            </w:tcBorders>
            <w:shd w:val="clear" w:color="auto" w:fill="auto"/>
            <w:noWrap/>
            <w:vAlign w:val="center"/>
            <w:hideMark/>
          </w:tcPr>
          <w:p w14:paraId="4549EDCF" w14:textId="1B950C43"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58,064</w:t>
            </w:r>
          </w:p>
        </w:tc>
        <w:tc>
          <w:tcPr>
            <w:tcW w:w="1031" w:type="dxa"/>
            <w:gridSpan w:val="3"/>
            <w:tcBorders>
              <w:top w:val="nil"/>
              <w:left w:val="nil"/>
              <w:bottom w:val="nil"/>
              <w:right w:val="nil"/>
            </w:tcBorders>
            <w:shd w:val="clear" w:color="auto" w:fill="auto"/>
            <w:noWrap/>
            <w:vAlign w:val="center"/>
            <w:hideMark/>
          </w:tcPr>
          <w:p w14:paraId="40350454" w14:textId="40042701"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89,735</w:t>
            </w:r>
          </w:p>
        </w:tc>
        <w:tc>
          <w:tcPr>
            <w:tcW w:w="1031" w:type="dxa"/>
            <w:gridSpan w:val="4"/>
            <w:tcBorders>
              <w:top w:val="nil"/>
              <w:left w:val="nil"/>
              <w:bottom w:val="nil"/>
              <w:right w:val="nil"/>
            </w:tcBorders>
            <w:shd w:val="clear" w:color="auto" w:fill="auto"/>
            <w:noWrap/>
            <w:vAlign w:val="center"/>
            <w:hideMark/>
          </w:tcPr>
          <w:p w14:paraId="4CF3D418" w14:textId="7A5921D5"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141,120</w:t>
            </w:r>
          </w:p>
        </w:tc>
        <w:tc>
          <w:tcPr>
            <w:tcW w:w="1032" w:type="dxa"/>
            <w:tcBorders>
              <w:top w:val="nil"/>
              <w:left w:val="nil"/>
              <w:bottom w:val="nil"/>
              <w:right w:val="nil"/>
            </w:tcBorders>
            <w:shd w:val="clear" w:color="auto" w:fill="auto"/>
            <w:noWrap/>
            <w:vAlign w:val="center"/>
            <w:hideMark/>
          </w:tcPr>
          <w:p w14:paraId="411C84CB" w14:textId="4873EBBA"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392,000</w:t>
            </w:r>
          </w:p>
        </w:tc>
        <w:tc>
          <w:tcPr>
            <w:tcW w:w="1296" w:type="dxa"/>
            <w:gridSpan w:val="2"/>
            <w:tcBorders>
              <w:top w:val="nil"/>
              <w:left w:val="nil"/>
              <w:bottom w:val="nil"/>
              <w:right w:val="nil"/>
            </w:tcBorders>
            <w:shd w:val="clear" w:color="auto" w:fill="auto"/>
            <w:noWrap/>
            <w:vAlign w:val="center"/>
            <w:hideMark/>
          </w:tcPr>
          <w:p w14:paraId="7E1F450C" w14:textId="22272872"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0.402</w:t>
            </w:r>
          </w:p>
        </w:tc>
      </w:tr>
      <w:tr w:rsidR="00C52CEE" w:rsidRPr="001937FE" w14:paraId="1CDC45A4" w14:textId="77777777" w:rsidTr="0018258B">
        <w:trPr>
          <w:gridAfter w:val="2"/>
          <w:wAfter w:w="706" w:type="dxa"/>
          <w:trHeight w:val="310"/>
        </w:trPr>
        <w:tc>
          <w:tcPr>
            <w:tcW w:w="2970" w:type="dxa"/>
            <w:tcBorders>
              <w:top w:val="nil"/>
              <w:left w:val="nil"/>
              <w:bottom w:val="nil"/>
              <w:right w:val="nil"/>
            </w:tcBorders>
            <w:shd w:val="clear" w:color="auto" w:fill="auto"/>
            <w:noWrap/>
            <w:vAlign w:val="center"/>
            <w:hideMark/>
          </w:tcPr>
          <w:p w14:paraId="36DBCAFF" w14:textId="77777777" w:rsidR="00C52CEE" w:rsidRPr="001937FE" w:rsidRDefault="00C52CEE" w:rsidP="00C52CEE">
            <w:pPr>
              <w:spacing w:after="0" w:line="240" w:lineRule="auto"/>
              <w:rPr>
                <w:rFonts w:ascii="Times New Roman" w:eastAsia="Times New Roman" w:hAnsi="Times New Roman" w:cs="Times New Roman"/>
                <w:i/>
                <w:iCs/>
                <w:color w:val="000000"/>
                <w:sz w:val="24"/>
                <w:szCs w:val="24"/>
              </w:rPr>
            </w:pPr>
            <w:r w:rsidRPr="001937FE">
              <w:rPr>
                <w:rFonts w:ascii="Times New Roman" w:eastAsia="Times New Roman" w:hAnsi="Times New Roman" w:cs="Times New Roman"/>
                <w:i/>
                <w:iCs/>
                <w:color w:val="000000"/>
                <w:sz w:val="24"/>
                <w:szCs w:val="24"/>
              </w:rPr>
              <w:t xml:space="preserve">     FTFY Women</w:t>
            </w:r>
          </w:p>
        </w:tc>
        <w:tc>
          <w:tcPr>
            <w:tcW w:w="900" w:type="dxa"/>
            <w:tcBorders>
              <w:top w:val="nil"/>
              <w:left w:val="nil"/>
              <w:bottom w:val="nil"/>
              <w:right w:val="nil"/>
            </w:tcBorders>
            <w:shd w:val="clear" w:color="auto" w:fill="auto"/>
            <w:noWrap/>
            <w:vAlign w:val="center"/>
            <w:hideMark/>
          </w:tcPr>
          <w:p w14:paraId="29075A6D" w14:textId="53476A24" w:rsidR="00C52CEE" w:rsidRPr="00812272" w:rsidRDefault="00C52CEE" w:rsidP="00C52CEE">
            <w:pPr>
              <w:spacing w:after="0" w:line="240" w:lineRule="auto"/>
              <w:jc w:val="center"/>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15.6%</w:t>
            </w:r>
          </w:p>
        </w:tc>
        <w:tc>
          <w:tcPr>
            <w:tcW w:w="1620" w:type="dxa"/>
            <w:gridSpan w:val="2"/>
            <w:tcBorders>
              <w:top w:val="nil"/>
              <w:left w:val="nil"/>
              <w:bottom w:val="nil"/>
              <w:right w:val="nil"/>
            </w:tcBorders>
            <w:shd w:val="clear" w:color="auto" w:fill="auto"/>
            <w:noWrap/>
            <w:vAlign w:val="center"/>
            <w:hideMark/>
          </w:tcPr>
          <w:p w14:paraId="1A24CD82" w14:textId="75BFC0EA" w:rsidR="00C52CEE" w:rsidRPr="00812272" w:rsidRDefault="00C52CEE" w:rsidP="00C52CEE">
            <w:pPr>
              <w:spacing w:after="0" w:line="240" w:lineRule="auto"/>
              <w:jc w:val="center"/>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55.5%</w:t>
            </w:r>
          </w:p>
        </w:tc>
        <w:tc>
          <w:tcPr>
            <w:tcW w:w="1031" w:type="dxa"/>
            <w:gridSpan w:val="3"/>
            <w:tcBorders>
              <w:top w:val="nil"/>
              <w:left w:val="nil"/>
              <w:bottom w:val="nil"/>
              <w:right w:val="nil"/>
            </w:tcBorders>
            <w:shd w:val="clear" w:color="auto" w:fill="auto"/>
            <w:noWrap/>
            <w:vAlign w:val="center"/>
            <w:hideMark/>
          </w:tcPr>
          <w:p w14:paraId="10ECB9C3" w14:textId="5858C90B"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21,114</w:t>
            </w:r>
          </w:p>
        </w:tc>
        <w:tc>
          <w:tcPr>
            <w:tcW w:w="1031" w:type="dxa"/>
            <w:gridSpan w:val="5"/>
            <w:tcBorders>
              <w:top w:val="nil"/>
              <w:left w:val="nil"/>
              <w:bottom w:val="nil"/>
              <w:right w:val="nil"/>
            </w:tcBorders>
            <w:shd w:val="clear" w:color="auto" w:fill="auto"/>
            <w:noWrap/>
            <w:vAlign w:val="center"/>
            <w:hideMark/>
          </w:tcPr>
          <w:p w14:paraId="649F36E5" w14:textId="61258489"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31,498</w:t>
            </w:r>
          </w:p>
        </w:tc>
        <w:tc>
          <w:tcPr>
            <w:tcW w:w="1032" w:type="dxa"/>
            <w:gridSpan w:val="4"/>
            <w:tcBorders>
              <w:top w:val="nil"/>
              <w:left w:val="nil"/>
              <w:bottom w:val="nil"/>
              <w:right w:val="nil"/>
            </w:tcBorders>
            <w:shd w:val="clear" w:color="auto" w:fill="auto"/>
            <w:noWrap/>
            <w:vAlign w:val="center"/>
            <w:hideMark/>
          </w:tcPr>
          <w:p w14:paraId="4B09CCDA" w14:textId="5FEC2F55"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47,507</w:t>
            </w:r>
          </w:p>
        </w:tc>
        <w:tc>
          <w:tcPr>
            <w:tcW w:w="1031" w:type="dxa"/>
            <w:gridSpan w:val="3"/>
            <w:tcBorders>
              <w:top w:val="nil"/>
              <w:left w:val="nil"/>
              <w:bottom w:val="nil"/>
              <w:right w:val="nil"/>
            </w:tcBorders>
            <w:shd w:val="clear" w:color="auto" w:fill="auto"/>
            <w:noWrap/>
            <w:vAlign w:val="center"/>
            <w:hideMark/>
          </w:tcPr>
          <w:p w14:paraId="5204A2FB" w14:textId="02E0C30C"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68,621</w:t>
            </w:r>
          </w:p>
        </w:tc>
        <w:tc>
          <w:tcPr>
            <w:tcW w:w="1031" w:type="dxa"/>
            <w:gridSpan w:val="4"/>
            <w:tcBorders>
              <w:top w:val="nil"/>
              <w:left w:val="nil"/>
              <w:bottom w:val="nil"/>
              <w:right w:val="nil"/>
            </w:tcBorders>
            <w:shd w:val="clear" w:color="auto" w:fill="auto"/>
            <w:noWrap/>
            <w:vAlign w:val="center"/>
            <w:hideMark/>
          </w:tcPr>
          <w:p w14:paraId="16ED6495" w14:textId="03A75DCF"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100,940</w:t>
            </w:r>
          </w:p>
        </w:tc>
        <w:tc>
          <w:tcPr>
            <w:tcW w:w="1032" w:type="dxa"/>
            <w:tcBorders>
              <w:top w:val="nil"/>
              <w:left w:val="nil"/>
              <w:bottom w:val="nil"/>
              <w:right w:val="nil"/>
            </w:tcBorders>
            <w:shd w:val="clear" w:color="auto" w:fill="auto"/>
            <w:noWrap/>
            <w:vAlign w:val="center"/>
            <w:hideMark/>
          </w:tcPr>
          <w:p w14:paraId="2C386319" w14:textId="46C67564"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274,400</w:t>
            </w:r>
          </w:p>
        </w:tc>
        <w:tc>
          <w:tcPr>
            <w:tcW w:w="1296" w:type="dxa"/>
            <w:gridSpan w:val="2"/>
            <w:tcBorders>
              <w:top w:val="nil"/>
              <w:left w:val="nil"/>
              <w:bottom w:val="nil"/>
              <w:right w:val="nil"/>
            </w:tcBorders>
            <w:shd w:val="clear" w:color="auto" w:fill="auto"/>
            <w:noWrap/>
            <w:vAlign w:val="center"/>
            <w:hideMark/>
          </w:tcPr>
          <w:p w14:paraId="0A3E8E0D" w14:textId="469247B9"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0.375</w:t>
            </w:r>
          </w:p>
        </w:tc>
      </w:tr>
      <w:tr w:rsidR="00C52CEE" w:rsidRPr="001937FE" w14:paraId="292605D9" w14:textId="77777777" w:rsidTr="0018258B">
        <w:trPr>
          <w:gridAfter w:val="2"/>
          <w:wAfter w:w="706" w:type="dxa"/>
          <w:trHeight w:val="310"/>
        </w:trPr>
        <w:tc>
          <w:tcPr>
            <w:tcW w:w="2970" w:type="dxa"/>
            <w:tcBorders>
              <w:top w:val="nil"/>
              <w:left w:val="nil"/>
              <w:bottom w:val="nil"/>
              <w:right w:val="nil"/>
            </w:tcBorders>
            <w:shd w:val="clear" w:color="auto" w:fill="auto"/>
            <w:noWrap/>
            <w:vAlign w:val="center"/>
            <w:hideMark/>
          </w:tcPr>
          <w:p w14:paraId="496871E7" w14:textId="77777777" w:rsidR="00C52CEE" w:rsidRPr="001937FE" w:rsidRDefault="00C52CEE" w:rsidP="00C52CEE">
            <w:pPr>
              <w:spacing w:after="0" w:line="240" w:lineRule="auto"/>
              <w:rPr>
                <w:rFonts w:ascii="Times New Roman" w:eastAsia="Times New Roman" w:hAnsi="Times New Roman" w:cs="Times New Roman"/>
                <w:i/>
                <w:iCs/>
                <w:color w:val="000000"/>
                <w:sz w:val="24"/>
                <w:szCs w:val="24"/>
              </w:rPr>
            </w:pPr>
            <w:r w:rsidRPr="001937FE">
              <w:rPr>
                <w:rFonts w:ascii="Times New Roman" w:eastAsia="Times New Roman" w:hAnsi="Times New Roman" w:cs="Times New Roman"/>
                <w:i/>
                <w:iCs/>
                <w:color w:val="000000"/>
                <w:sz w:val="24"/>
                <w:szCs w:val="24"/>
              </w:rPr>
              <w:t xml:space="preserve">     All Men</w:t>
            </w:r>
          </w:p>
        </w:tc>
        <w:tc>
          <w:tcPr>
            <w:tcW w:w="900" w:type="dxa"/>
            <w:tcBorders>
              <w:top w:val="nil"/>
              <w:left w:val="nil"/>
              <w:bottom w:val="nil"/>
              <w:right w:val="nil"/>
            </w:tcBorders>
            <w:shd w:val="clear" w:color="auto" w:fill="auto"/>
            <w:noWrap/>
            <w:vAlign w:val="center"/>
            <w:hideMark/>
          </w:tcPr>
          <w:p w14:paraId="46E69624" w14:textId="2FB4EDDD" w:rsidR="00C52CEE" w:rsidRPr="00812272" w:rsidRDefault="00C52CEE" w:rsidP="00C52CEE">
            <w:pPr>
              <w:spacing w:after="0" w:line="240" w:lineRule="auto"/>
              <w:jc w:val="center"/>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14.</w:t>
            </w:r>
            <w:r w:rsidR="00402886">
              <w:rPr>
                <w:rFonts w:ascii="Times New Roman" w:hAnsi="Times New Roman" w:cs="Times New Roman"/>
                <w:color w:val="000000"/>
                <w:sz w:val="24"/>
                <w:szCs w:val="24"/>
              </w:rPr>
              <w:t>4</w:t>
            </w:r>
            <w:r w:rsidRPr="004B26C9">
              <w:rPr>
                <w:rFonts w:ascii="Times New Roman" w:hAnsi="Times New Roman" w:cs="Times New Roman"/>
                <w:color w:val="000000"/>
                <w:sz w:val="24"/>
                <w:szCs w:val="24"/>
              </w:rPr>
              <w:t>%</w:t>
            </w:r>
          </w:p>
        </w:tc>
        <w:tc>
          <w:tcPr>
            <w:tcW w:w="1620" w:type="dxa"/>
            <w:gridSpan w:val="2"/>
            <w:tcBorders>
              <w:top w:val="nil"/>
              <w:left w:val="nil"/>
              <w:bottom w:val="nil"/>
              <w:right w:val="nil"/>
            </w:tcBorders>
            <w:shd w:val="clear" w:color="auto" w:fill="auto"/>
            <w:noWrap/>
            <w:vAlign w:val="center"/>
            <w:hideMark/>
          </w:tcPr>
          <w:p w14:paraId="171ABA26" w14:textId="4B15F6C0" w:rsidR="00C52CEE" w:rsidRPr="00812272" w:rsidRDefault="00C52CEE" w:rsidP="00C52CEE">
            <w:pPr>
              <w:spacing w:after="0" w:line="240" w:lineRule="auto"/>
              <w:jc w:val="center"/>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48.</w:t>
            </w:r>
            <w:r w:rsidR="00402886">
              <w:rPr>
                <w:rFonts w:ascii="Times New Roman" w:hAnsi="Times New Roman" w:cs="Times New Roman"/>
                <w:color w:val="000000"/>
                <w:sz w:val="24"/>
                <w:szCs w:val="24"/>
              </w:rPr>
              <w:t>4</w:t>
            </w:r>
            <w:r w:rsidRPr="004B26C9">
              <w:rPr>
                <w:rFonts w:ascii="Times New Roman" w:hAnsi="Times New Roman" w:cs="Times New Roman"/>
                <w:color w:val="000000"/>
                <w:sz w:val="24"/>
                <w:szCs w:val="24"/>
              </w:rPr>
              <w:t>%</w:t>
            </w:r>
          </w:p>
        </w:tc>
        <w:tc>
          <w:tcPr>
            <w:tcW w:w="1031" w:type="dxa"/>
            <w:gridSpan w:val="3"/>
            <w:tcBorders>
              <w:top w:val="nil"/>
              <w:left w:val="nil"/>
              <w:bottom w:val="nil"/>
              <w:right w:val="nil"/>
            </w:tcBorders>
            <w:shd w:val="clear" w:color="auto" w:fill="auto"/>
            <w:noWrap/>
            <w:vAlign w:val="center"/>
            <w:hideMark/>
          </w:tcPr>
          <w:p w14:paraId="7763F9D3" w14:textId="46670C03"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0</w:t>
            </w:r>
          </w:p>
        </w:tc>
        <w:tc>
          <w:tcPr>
            <w:tcW w:w="1031" w:type="dxa"/>
            <w:gridSpan w:val="5"/>
            <w:tcBorders>
              <w:top w:val="nil"/>
              <w:left w:val="nil"/>
              <w:bottom w:val="nil"/>
              <w:right w:val="nil"/>
            </w:tcBorders>
            <w:shd w:val="clear" w:color="auto" w:fill="auto"/>
            <w:noWrap/>
            <w:vAlign w:val="center"/>
            <w:hideMark/>
          </w:tcPr>
          <w:p w14:paraId="5174126E" w14:textId="303C0B34"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24,</w:t>
            </w:r>
            <w:r w:rsidR="00C9673F">
              <w:rPr>
                <w:rFonts w:ascii="Times New Roman" w:hAnsi="Times New Roman" w:cs="Times New Roman"/>
                <w:color w:val="000000"/>
                <w:sz w:val="24"/>
                <w:szCs w:val="24"/>
              </w:rPr>
              <w:t>138</w:t>
            </w:r>
          </w:p>
        </w:tc>
        <w:tc>
          <w:tcPr>
            <w:tcW w:w="1032" w:type="dxa"/>
            <w:gridSpan w:val="4"/>
            <w:tcBorders>
              <w:top w:val="nil"/>
              <w:left w:val="nil"/>
              <w:bottom w:val="nil"/>
              <w:right w:val="nil"/>
            </w:tcBorders>
            <w:shd w:val="clear" w:color="auto" w:fill="auto"/>
            <w:noWrap/>
            <w:vAlign w:val="center"/>
            <w:hideMark/>
          </w:tcPr>
          <w:p w14:paraId="6CF3ECAF" w14:textId="3587B5DA"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49,140</w:t>
            </w:r>
          </w:p>
        </w:tc>
        <w:tc>
          <w:tcPr>
            <w:tcW w:w="1031" w:type="dxa"/>
            <w:gridSpan w:val="3"/>
            <w:tcBorders>
              <w:top w:val="nil"/>
              <w:left w:val="nil"/>
              <w:bottom w:val="nil"/>
              <w:right w:val="nil"/>
            </w:tcBorders>
            <w:shd w:val="clear" w:color="auto" w:fill="auto"/>
            <w:noWrap/>
            <w:vAlign w:val="center"/>
            <w:hideMark/>
          </w:tcPr>
          <w:p w14:paraId="64CBF6E6" w14:textId="32583ACC"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81,600</w:t>
            </w:r>
          </w:p>
        </w:tc>
        <w:tc>
          <w:tcPr>
            <w:tcW w:w="1031" w:type="dxa"/>
            <w:gridSpan w:val="4"/>
            <w:tcBorders>
              <w:top w:val="nil"/>
              <w:left w:val="nil"/>
              <w:bottom w:val="nil"/>
              <w:right w:val="nil"/>
            </w:tcBorders>
            <w:shd w:val="clear" w:color="auto" w:fill="auto"/>
            <w:noWrap/>
            <w:vAlign w:val="center"/>
            <w:hideMark/>
          </w:tcPr>
          <w:p w14:paraId="7FCBC32C" w14:textId="56598E98"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12</w:t>
            </w:r>
            <w:r w:rsidR="00C9673F">
              <w:rPr>
                <w:rFonts w:ascii="Times New Roman" w:hAnsi="Times New Roman" w:cs="Times New Roman"/>
                <w:color w:val="000000"/>
                <w:sz w:val="24"/>
                <w:szCs w:val="24"/>
              </w:rPr>
              <w:t>9</w:t>
            </w:r>
            <w:r w:rsidRPr="004B26C9">
              <w:rPr>
                <w:rFonts w:ascii="Times New Roman" w:hAnsi="Times New Roman" w:cs="Times New Roman"/>
                <w:color w:val="000000"/>
                <w:sz w:val="24"/>
                <w:szCs w:val="24"/>
              </w:rPr>
              <w:t>,</w:t>
            </w:r>
            <w:r w:rsidR="00C9673F">
              <w:rPr>
                <w:rFonts w:ascii="Times New Roman" w:hAnsi="Times New Roman" w:cs="Times New Roman"/>
                <w:color w:val="000000"/>
                <w:sz w:val="24"/>
                <w:szCs w:val="24"/>
              </w:rPr>
              <w:t>47</w:t>
            </w:r>
            <w:r w:rsidRPr="004B26C9">
              <w:rPr>
                <w:rFonts w:ascii="Times New Roman" w:hAnsi="Times New Roman" w:cs="Times New Roman"/>
                <w:color w:val="000000"/>
                <w:sz w:val="24"/>
                <w:szCs w:val="24"/>
              </w:rPr>
              <w:t>0</w:t>
            </w:r>
          </w:p>
        </w:tc>
        <w:tc>
          <w:tcPr>
            <w:tcW w:w="1032" w:type="dxa"/>
            <w:tcBorders>
              <w:top w:val="nil"/>
              <w:left w:val="nil"/>
              <w:bottom w:val="nil"/>
              <w:right w:val="nil"/>
            </w:tcBorders>
            <w:shd w:val="clear" w:color="auto" w:fill="auto"/>
            <w:noWrap/>
            <w:vAlign w:val="center"/>
            <w:hideMark/>
          </w:tcPr>
          <w:p w14:paraId="470B6539" w14:textId="594D2357"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345,600</w:t>
            </w:r>
          </w:p>
        </w:tc>
        <w:tc>
          <w:tcPr>
            <w:tcW w:w="1296" w:type="dxa"/>
            <w:gridSpan w:val="2"/>
            <w:tcBorders>
              <w:top w:val="nil"/>
              <w:left w:val="nil"/>
              <w:bottom w:val="nil"/>
              <w:right w:val="nil"/>
            </w:tcBorders>
            <w:shd w:val="clear" w:color="auto" w:fill="auto"/>
            <w:noWrap/>
            <w:vAlign w:val="center"/>
            <w:hideMark/>
          </w:tcPr>
          <w:p w14:paraId="1B370776" w14:textId="7F51A36F"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0.498</w:t>
            </w:r>
          </w:p>
        </w:tc>
      </w:tr>
      <w:tr w:rsidR="00C52CEE" w:rsidRPr="001937FE" w14:paraId="6519A81A" w14:textId="77777777" w:rsidTr="004B26C9">
        <w:trPr>
          <w:gridAfter w:val="2"/>
          <w:wAfter w:w="706" w:type="dxa"/>
          <w:trHeight w:val="300"/>
        </w:trPr>
        <w:tc>
          <w:tcPr>
            <w:tcW w:w="5490" w:type="dxa"/>
            <w:gridSpan w:val="4"/>
            <w:tcBorders>
              <w:top w:val="nil"/>
              <w:left w:val="nil"/>
              <w:bottom w:val="nil"/>
              <w:right w:val="nil"/>
            </w:tcBorders>
            <w:shd w:val="clear" w:color="auto" w:fill="auto"/>
            <w:noWrap/>
            <w:vAlign w:val="bottom"/>
            <w:hideMark/>
          </w:tcPr>
          <w:p w14:paraId="32BB105A" w14:textId="1EF9A1A4" w:rsidR="00C52CEE" w:rsidRPr="00812272" w:rsidRDefault="00C52CEE" w:rsidP="00C52CEE">
            <w:pPr>
              <w:spacing w:after="0" w:line="240" w:lineRule="auto"/>
              <w:rPr>
                <w:rFonts w:ascii="Times New Roman" w:eastAsia="Times New Roman" w:hAnsi="Times New Roman" w:cs="Times New Roman"/>
                <w:b/>
                <w:bCs/>
                <w:color w:val="000000"/>
                <w:sz w:val="24"/>
                <w:szCs w:val="24"/>
              </w:rPr>
            </w:pPr>
            <w:r w:rsidRPr="00C52CEE">
              <w:rPr>
                <w:rFonts w:ascii="Times New Roman" w:eastAsia="Times New Roman" w:hAnsi="Times New Roman" w:cs="Times New Roman"/>
                <w:b/>
                <w:bCs/>
                <w:color w:val="000000"/>
                <w:sz w:val="24"/>
                <w:szCs w:val="24"/>
              </w:rPr>
              <w:t xml:space="preserve">Panel D: </w:t>
            </w:r>
            <w:r w:rsidRPr="00812272">
              <w:rPr>
                <w:rFonts w:ascii="Times New Roman" w:eastAsia="Times New Roman" w:hAnsi="Times New Roman" w:cs="Times New Roman"/>
                <w:b/>
                <w:bCs/>
                <w:color w:val="000000"/>
                <w:sz w:val="24"/>
                <w:szCs w:val="24"/>
              </w:rPr>
              <w:t>Simulation 3</w:t>
            </w:r>
          </w:p>
        </w:tc>
        <w:tc>
          <w:tcPr>
            <w:tcW w:w="1031" w:type="dxa"/>
            <w:gridSpan w:val="3"/>
            <w:tcBorders>
              <w:top w:val="nil"/>
              <w:left w:val="nil"/>
              <w:bottom w:val="nil"/>
              <w:right w:val="nil"/>
            </w:tcBorders>
            <w:shd w:val="clear" w:color="auto" w:fill="auto"/>
            <w:noWrap/>
            <w:vAlign w:val="center"/>
            <w:hideMark/>
          </w:tcPr>
          <w:p w14:paraId="4D6F2137" w14:textId="77777777" w:rsidR="00C52CEE" w:rsidRPr="00C52CEE" w:rsidRDefault="00C52CEE" w:rsidP="00C52CEE">
            <w:pPr>
              <w:spacing w:after="0" w:line="240" w:lineRule="auto"/>
              <w:rPr>
                <w:rFonts w:ascii="Times New Roman" w:eastAsia="Times New Roman" w:hAnsi="Times New Roman" w:cs="Times New Roman"/>
                <w:b/>
                <w:bCs/>
                <w:color w:val="000000"/>
                <w:sz w:val="24"/>
                <w:szCs w:val="24"/>
              </w:rPr>
            </w:pPr>
          </w:p>
        </w:tc>
        <w:tc>
          <w:tcPr>
            <w:tcW w:w="1031" w:type="dxa"/>
            <w:gridSpan w:val="5"/>
            <w:tcBorders>
              <w:top w:val="nil"/>
              <w:left w:val="nil"/>
              <w:bottom w:val="nil"/>
              <w:right w:val="nil"/>
            </w:tcBorders>
            <w:shd w:val="clear" w:color="auto" w:fill="auto"/>
            <w:noWrap/>
            <w:vAlign w:val="center"/>
            <w:hideMark/>
          </w:tcPr>
          <w:p w14:paraId="3B5A10A0" w14:textId="77777777" w:rsidR="00C52CEE" w:rsidRPr="00C52CEE" w:rsidRDefault="00C52CEE" w:rsidP="00C52CEE">
            <w:pPr>
              <w:spacing w:after="0" w:line="240" w:lineRule="auto"/>
              <w:rPr>
                <w:rFonts w:ascii="Times New Roman" w:eastAsia="Times New Roman" w:hAnsi="Times New Roman" w:cs="Times New Roman"/>
                <w:sz w:val="24"/>
                <w:szCs w:val="24"/>
              </w:rPr>
            </w:pPr>
          </w:p>
        </w:tc>
        <w:tc>
          <w:tcPr>
            <w:tcW w:w="1032" w:type="dxa"/>
            <w:gridSpan w:val="4"/>
            <w:tcBorders>
              <w:top w:val="nil"/>
              <w:left w:val="nil"/>
              <w:bottom w:val="nil"/>
              <w:right w:val="nil"/>
            </w:tcBorders>
            <w:shd w:val="clear" w:color="auto" w:fill="auto"/>
            <w:noWrap/>
            <w:vAlign w:val="bottom"/>
            <w:hideMark/>
          </w:tcPr>
          <w:p w14:paraId="093C9535" w14:textId="77777777" w:rsidR="00C52CEE" w:rsidRPr="00C52CEE" w:rsidRDefault="00C52CEE" w:rsidP="00C52CEE">
            <w:pPr>
              <w:spacing w:after="0" w:line="240" w:lineRule="auto"/>
              <w:rPr>
                <w:rFonts w:ascii="Times New Roman" w:eastAsia="Times New Roman" w:hAnsi="Times New Roman" w:cs="Times New Roman"/>
                <w:sz w:val="24"/>
                <w:szCs w:val="24"/>
              </w:rPr>
            </w:pPr>
          </w:p>
        </w:tc>
        <w:tc>
          <w:tcPr>
            <w:tcW w:w="1031" w:type="dxa"/>
            <w:gridSpan w:val="3"/>
            <w:tcBorders>
              <w:top w:val="nil"/>
              <w:left w:val="nil"/>
              <w:bottom w:val="nil"/>
              <w:right w:val="nil"/>
            </w:tcBorders>
            <w:shd w:val="clear" w:color="auto" w:fill="auto"/>
            <w:noWrap/>
            <w:vAlign w:val="bottom"/>
            <w:hideMark/>
          </w:tcPr>
          <w:p w14:paraId="7434C5E0" w14:textId="77777777" w:rsidR="00C52CEE" w:rsidRPr="00C52CEE" w:rsidRDefault="00C52CEE" w:rsidP="00C52CEE">
            <w:pPr>
              <w:spacing w:after="0" w:line="240" w:lineRule="auto"/>
              <w:rPr>
                <w:rFonts w:ascii="Times New Roman" w:eastAsia="Times New Roman" w:hAnsi="Times New Roman" w:cs="Times New Roman"/>
                <w:sz w:val="24"/>
                <w:szCs w:val="24"/>
              </w:rPr>
            </w:pPr>
          </w:p>
        </w:tc>
        <w:tc>
          <w:tcPr>
            <w:tcW w:w="1031" w:type="dxa"/>
            <w:gridSpan w:val="4"/>
            <w:tcBorders>
              <w:top w:val="nil"/>
              <w:left w:val="nil"/>
              <w:bottom w:val="nil"/>
              <w:right w:val="nil"/>
            </w:tcBorders>
            <w:shd w:val="clear" w:color="auto" w:fill="auto"/>
            <w:noWrap/>
            <w:vAlign w:val="bottom"/>
            <w:hideMark/>
          </w:tcPr>
          <w:p w14:paraId="27982859" w14:textId="77777777" w:rsidR="00C52CEE" w:rsidRPr="00C52CEE" w:rsidRDefault="00C52CEE" w:rsidP="00C52CEE">
            <w:pPr>
              <w:spacing w:after="0" w:line="240" w:lineRule="auto"/>
              <w:rPr>
                <w:rFonts w:ascii="Times New Roman" w:eastAsia="Times New Roman" w:hAnsi="Times New Roman" w:cs="Times New Roman"/>
                <w:sz w:val="24"/>
                <w:szCs w:val="24"/>
              </w:rPr>
            </w:pPr>
          </w:p>
        </w:tc>
        <w:tc>
          <w:tcPr>
            <w:tcW w:w="1032" w:type="dxa"/>
            <w:tcBorders>
              <w:top w:val="nil"/>
              <w:left w:val="nil"/>
              <w:bottom w:val="nil"/>
              <w:right w:val="nil"/>
            </w:tcBorders>
            <w:shd w:val="clear" w:color="auto" w:fill="auto"/>
            <w:noWrap/>
            <w:vAlign w:val="bottom"/>
            <w:hideMark/>
          </w:tcPr>
          <w:p w14:paraId="1350AF7C" w14:textId="77777777" w:rsidR="00C52CEE" w:rsidRPr="00C52CEE" w:rsidRDefault="00C52CEE" w:rsidP="00C52CEE">
            <w:pPr>
              <w:spacing w:after="0" w:line="240" w:lineRule="auto"/>
              <w:rPr>
                <w:rFonts w:ascii="Times New Roman" w:eastAsia="Times New Roman" w:hAnsi="Times New Roman" w:cs="Times New Roman"/>
                <w:sz w:val="24"/>
                <w:szCs w:val="24"/>
              </w:rPr>
            </w:pPr>
          </w:p>
        </w:tc>
        <w:tc>
          <w:tcPr>
            <w:tcW w:w="1296" w:type="dxa"/>
            <w:gridSpan w:val="2"/>
            <w:tcBorders>
              <w:top w:val="nil"/>
              <w:left w:val="nil"/>
              <w:bottom w:val="nil"/>
              <w:right w:val="nil"/>
            </w:tcBorders>
            <w:shd w:val="clear" w:color="auto" w:fill="auto"/>
            <w:noWrap/>
            <w:vAlign w:val="bottom"/>
            <w:hideMark/>
          </w:tcPr>
          <w:p w14:paraId="1968D0A9" w14:textId="77777777" w:rsidR="00C52CEE" w:rsidRPr="00C52CEE" w:rsidRDefault="00C52CEE" w:rsidP="00C52CEE">
            <w:pPr>
              <w:spacing w:after="0" w:line="240" w:lineRule="auto"/>
              <w:rPr>
                <w:rFonts w:ascii="Times New Roman" w:eastAsia="Times New Roman" w:hAnsi="Times New Roman" w:cs="Times New Roman"/>
                <w:sz w:val="24"/>
                <w:szCs w:val="24"/>
              </w:rPr>
            </w:pPr>
          </w:p>
        </w:tc>
      </w:tr>
      <w:tr w:rsidR="00C52CEE" w:rsidRPr="001937FE" w14:paraId="5483EFCD" w14:textId="77777777" w:rsidTr="0018258B">
        <w:trPr>
          <w:gridAfter w:val="2"/>
          <w:wAfter w:w="706" w:type="dxa"/>
          <w:trHeight w:val="310"/>
        </w:trPr>
        <w:tc>
          <w:tcPr>
            <w:tcW w:w="2970" w:type="dxa"/>
            <w:tcBorders>
              <w:top w:val="nil"/>
              <w:left w:val="nil"/>
              <w:bottom w:val="nil"/>
              <w:right w:val="nil"/>
            </w:tcBorders>
            <w:shd w:val="clear" w:color="auto" w:fill="auto"/>
            <w:noWrap/>
            <w:vAlign w:val="center"/>
            <w:hideMark/>
          </w:tcPr>
          <w:p w14:paraId="2452DCF1" w14:textId="77777777" w:rsidR="00C52CEE" w:rsidRPr="001937FE" w:rsidRDefault="00C52CEE" w:rsidP="00C52CEE">
            <w:pPr>
              <w:spacing w:after="0" w:line="240" w:lineRule="auto"/>
              <w:rPr>
                <w:rFonts w:ascii="Times New Roman" w:eastAsia="Times New Roman" w:hAnsi="Times New Roman" w:cs="Times New Roman"/>
                <w:i/>
                <w:iCs/>
                <w:color w:val="000000"/>
                <w:sz w:val="24"/>
                <w:szCs w:val="24"/>
              </w:rPr>
            </w:pPr>
            <w:r w:rsidRPr="001937FE">
              <w:rPr>
                <w:rFonts w:ascii="Times New Roman" w:eastAsia="Times New Roman" w:hAnsi="Times New Roman" w:cs="Times New Roman"/>
                <w:i/>
                <w:iCs/>
                <w:color w:val="000000"/>
                <w:sz w:val="24"/>
                <w:szCs w:val="24"/>
              </w:rPr>
              <w:t xml:space="preserve">     FTFY Men and Women</w:t>
            </w:r>
          </w:p>
        </w:tc>
        <w:tc>
          <w:tcPr>
            <w:tcW w:w="900" w:type="dxa"/>
            <w:tcBorders>
              <w:top w:val="nil"/>
              <w:left w:val="nil"/>
              <w:bottom w:val="nil"/>
              <w:right w:val="nil"/>
            </w:tcBorders>
            <w:shd w:val="clear" w:color="auto" w:fill="auto"/>
            <w:noWrap/>
            <w:vAlign w:val="center"/>
            <w:hideMark/>
          </w:tcPr>
          <w:p w14:paraId="19F2C7D2" w14:textId="707846C3" w:rsidR="00C52CEE" w:rsidRPr="00812272" w:rsidRDefault="00C52CEE" w:rsidP="00C52CEE">
            <w:pPr>
              <w:spacing w:after="0" w:line="240" w:lineRule="auto"/>
              <w:jc w:val="center"/>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20.</w:t>
            </w:r>
            <w:r w:rsidR="006F7121">
              <w:rPr>
                <w:rFonts w:ascii="Times New Roman" w:hAnsi="Times New Roman" w:cs="Times New Roman"/>
                <w:color w:val="000000"/>
                <w:sz w:val="24"/>
                <w:szCs w:val="24"/>
              </w:rPr>
              <w:t>1</w:t>
            </w:r>
            <w:r w:rsidRPr="004B26C9">
              <w:rPr>
                <w:rFonts w:ascii="Times New Roman" w:hAnsi="Times New Roman" w:cs="Times New Roman"/>
                <w:color w:val="000000"/>
                <w:sz w:val="24"/>
                <w:szCs w:val="24"/>
              </w:rPr>
              <w:t>%</w:t>
            </w:r>
          </w:p>
        </w:tc>
        <w:tc>
          <w:tcPr>
            <w:tcW w:w="1620" w:type="dxa"/>
            <w:gridSpan w:val="2"/>
            <w:tcBorders>
              <w:top w:val="nil"/>
              <w:left w:val="nil"/>
              <w:bottom w:val="nil"/>
              <w:right w:val="nil"/>
            </w:tcBorders>
            <w:shd w:val="clear" w:color="auto" w:fill="auto"/>
            <w:noWrap/>
            <w:vAlign w:val="center"/>
            <w:hideMark/>
          </w:tcPr>
          <w:p w14:paraId="11E87498" w14:textId="432FA7FA" w:rsidR="00C52CEE" w:rsidRPr="00812272" w:rsidRDefault="00C52CEE" w:rsidP="00C52CEE">
            <w:pPr>
              <w:spacing w:after="0" w:line="240" w:lineRule="auto"/>
              <w:jc w:val="center"/>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60.2%</w:t>
            </w:r>
          </w:p>
        </w:tc>
        <w:tc>
          <w:tcPr>
            <w:tcW w:w="1031" w:type="dxa"/>
            <w:gridSpan w:val="3"/>
            <w:tcBorders>
              <w:top w:val="nil"/>
              <w:left w:val="nil"/>
              <w:bottom w:val="nil"/>
              <w:right w:val="nil"/>
            </w:tcBorders>
            <w:shd w:val="clear" w:color="auto" w:fill="auto"/>
            <w:noWrap/>
            <w:vAlign w:val="center"/>
            <w:hideMark/>
          </w:tcPr>
          <w:p w14:paraId="1DCDB2A1" w14:textId="1CB3F022"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24,57</w:t>
            </w:r>
            <w:r w:rsidR="00C9673F">
              <w:rPr>
                <w:rFonts w:ascii="Times New Roman" w:hAnsi="Times New Roman" w:cs="Times New Roman"/>
                <w:color w:val="000000"/>
                <w:sz w:val="24"/>
                <w:szCs w:val="24"/>
              </w:rPr>
              <w:t>0</w:t>
            </w:r>
          </w:p>
        </w:tc>
        <w:tc>
          <w:tcPr>
            <w:tcW w:w="1031" w:type="dxa"/>
            <w:gridSpan w:val="5"/>
            <w:tcBorders>
              <w:top w:val="nil"/>
              <w:left w:val="nil"/>
              <w:bottom w:val="nil"/>
              <w:right w:val="nil"/>
            </w:tcBorders>
            <w:shd w:val="clear" w:color="auto" w:fill="auto"/>
            <w:noWrap/>
            <w:vAlign w:val="center"/>
            <w:hideMark/>
          </w:tcPr>
          <w:p w14:paraId="774A81EF" w14:textId="24A7F7D2"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36,</w:t>
            </w:r>
            <w:r w:rsidR="00C9673F">
              <w:rPr>
                <w:rFonts w:ascii="Times New Roman" w:hAnsi="Times New Roman" w:cs="Times New Roman"/>
                <w:color w:val="000000"/>
                <w:sz w:val="24"/>
                <w:szCs w:val="24"/>
              </w:rPr>
              <w:t>538</w:t>
            </w:r>
          </w:p>
        </w:tc>
        <w:tc>
          <w:tcPr>
            <w:tcW w:w="1032" w:type="dxa"/>
            <w:gridSpan w:val="4"/>
            <w:tcBorders>
              <w:top w:val="nil"/>
              <w:left w:val="nil"/>
              <w:bottom w:val="nil"/>
              <w:right w:val="nil"/>
            </w:tcBorders>
            <w:shd w:val="clear" w:color="auto" w:fill="auto"/>
            <w:noWrap/>
            <w:vAlign w:val="center"/>
            <w:hideMark/>
          </w:tcPr>
          <w:p w14:paraId="0067978D" w14:textId="5ADB057C"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55,</w:t>
            </w:r>
            <w:r w:rsidR="00C9673F">
              <w:rPr>
                <w:rFonts w:ascii="Times New Roman" w:hAnsi="Times New Roman" w:cs="Times New Roman"/>
                <w:color w:val="000000"/>
                <w:sz w:val="24"/>
                <w:szCs w:val="24"/>
              </w:rPr>
              <w:t>755</w:t>
            </w:r>
          </w:p>
        </w:tc>
        <w:tc>
          <w:tcPr>
            <w:tcW w:w="1031" w:type="dxa"/>
            <w:gridSpan w:val="3"/>
            <w:tcBorders>
              <w:top w:val="nil"/>
              <w:left w:val="nil"/>
              <w:bottom w:val="nil"/>
              <w:right w:val="nil"/>
            </w:tcBorders>
            <w:shd w:val="clear" w:color="auto" w:fill="auto"/>
            <w:noWrap/>
            <w:vAlign w:val="center"/>
            <w:hideMark/>
          </w:tcPr>
          <w:p w14:paraId="212DBB17" w14:textId="1F6E49DB"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84,</w:t>
            </w:r>
            <w:r w:rsidR="00C9673F">
              <w:rPr>
                <w:rFonts w:ascii="Times New Roman" w:hAnsi="Times New Roman" w:cs="Times New Roman"/>
                <w:color w:val="000000"/>
                <w:sz w:val="24"/>
                <w:szCs w:val="24"/>
              </w:rPr>
              <w:t>505</w:t>
            </w:r>
          </w:p>
        </w:tc>
        <w:tc>
          <w:tcPr>
            <w:tcW w:w="1031" w:type="dxa"/>
            <w:gridSpan w:val="4"/>
            <w:tcBorders>
              <w:top w:val="nil"/>
              <w:left w:val="nil"/>
              <w:bottom w:val="nil"/>
              <w:right w:val="nil"/>
            </w:tcBorders>
            <w:shd w:val="clear" w:color="auto" w:fill="auto"/>
            <w:noWrap/>
            <w:vAlign w:val="center"/>
            <w:hideMark/>
          </w:tcPr>
          <w:p w14:paraId="726F240A" w14:textId="4C815090" w:rsidR="00C52CEE" w:rsidRPr="00812272" w:rsidRDefault="000913C8"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12</w:t>
            </w:r>
            <w:r>
              <w:rPr>
                <w:rFonts w:ascii="Times New Roman" w:hAnsi="Times New Roman" w:cs="Times New Roman"/>
                <w:color w:val="000000"/>
                <w:sz w:val="24"/>
                <w:szCs w:val="24"/>
              </w:rPr>
              <w:t>6</w:t>
            </w:r>
            <w:r w:rsidR="00C52CEE" w:rsidRPr="004B26C9">
              <w:rPr>
                <w:rFonts w:ascii="Times New Roman" w:hAnsi="Times New Roman" w:cs="Times New Roman"/>
                <w:color w:val="000000"/>
                <w:sz w:val="24"/>
                <w:szCs w:val="24"/>
              </w:rPr>
              <w:t>,</w:t>
            </w:r>
            <w:r w:rsidR="00C9673F">
              <w:rPr>
                <w:rFonts w:ascii="Times New Roman" w:hAnsi="Times New Roman" w:cs="Times New Roman"/>
                <w:color w:val="000000"/>
                <w:sz w:val="24"/>
                <w:szCs w:val="24"/>
              </w:rPr>
              <w:t>758</w:t>
            </w:r>
          </w:p>
        </w:tc>
        <w:tc>
          <w:tcPr>
            <w:tcW w:w="1032" w:type="dxa"/>
            <w:tcBorders>
              <w:top w:val="nil"/>
              <w:left w:val="nil"/>
              <w:bottom w:val="nil"/>
              <w:right w:val="nil"/>
            </w:tcBorders>
            <w:shd w:val="clear" w:color="auto" w:fill="auto"/>
            <w:noWrap/>
            <w:vAlign w:val="center"/>
            <w:hideMark/>
          </w:tcPr>
          <w:p w14:paraId="2CC6952F" w14:textId="2753BF11"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351,3</w:t>
            </w:r>
            <w:r w:rsidR="00C9673F">
              <w:rPr>
                <w:rFonts w:ascii="Times New Roman" w:hAnsi="Times New Roman" w:cs="Times New Roman"/>
                <w:color w:val="000000"/>
                <w:sz w:val="24"/>
                <w:szCs w:val="24"/>
              </w:rPr>
              <w:t>15</w:t>
            </w:r>
          </w:p>
        </w:tc>
        <w:tc>
          <w:tcPr>
            <w:tcW w:w="1296" w:type="dxa"/>
            <w:gridSpan w:val="2"/>
            <w:tcBorders>
              <w:top w:val="nil"/>
              <w:left w:val="nil"/>
              <w:bottom w:val="nil"/>
              <w:right w:val="nil"/>
            </w:tcBorders>
            <w:shd w:val="clear" w:color="auto" w:fill="auto"/>
            <w:noWrap/>
            <w:vAlign w:val="center"/>
            <w:hideMark/>
          </w:tcPr>
          <w:p w14:paraId="59560829" w14:textId="6BAAB15C"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0.38</w:t>
            </w:r>
            <w:r w:rsidR="00C9673F">
              <w:rPr>
                <w:rFonts w:ascii="Times New Roman" w:hAnsi="Times New Roman" w:cs="Times New Roman"/>
                <w:color w:val="000000"/>
                <w:sz w:val="24"/>
                <w:szCs w:val="24"/>
              </w:rPr>
              <w:t>7</w:t>
            </w:r>
          </w:p>
        </w:tc>
      </w:tr>
      <w:tr w:rsidR="00C52CEE" w:rsidRPr="001937FE" w14:paraId="6F43CA01" w14:textId="77777777" w:rsidTr="0018258B">
        <w:trPr>
          <w:gridAfter w:val="2"/>
          <w:wAfter w:w="706" w:type="dxa"/>
          <w:trHeight w:val="310"/>
        </w:trPr>
        <w:tc>
          <w:tcPr>
            <w:tcW w:w="2970" w:type="dxa"/>
            <w:tcBorders>
              <w:top w:val="nil"/>
              <w:left w:val="nil"/>
              <w:bottom w:val="nil"/>
              <w:right w:val="nil"/>
            </w:tcBorders>
            <w:shd w:val="clear" w:color="auto" w:fill="auto"/>
            <w:noWrap/>
            <w:vAlign w:val="center"/>
            <w:hideMark/>
          </w:tcPr>
          <w:p w14:paraId="64935C52" w14:textId="77777777" w:rsidR="00C52CEE" w:rsidRPr="001937FE" w:rsidRDefault="00C52CEE" w:rsidP="00C52CEE">
            <w:pPr>
              <w:spacing w:after="0" w:line="240" w:lineRule="auto"/>
              <w:rPr>
                <w:rFonts w:ascii="Times New Roman" w:eastAsia="Times New Roman" w:hAnsi="Times New Roman" w:cs="Times New Roman"/>
                <w:i/>
                <w:iCs/>
                <w:color w:val="000000"/>
                <w:sz w:val="24"/>
                <w:szCs w:val="24"/>
              </w:rPr>
            </w:pPr>
            <w:r w:rsidRPr="001937FE">
              <w:rPr>
                <w:rFonts w:ascii="Times New Roman" w:eastAsia="Times New Roman" w:hAnsi="Times New Roman" w:cs="Times New Roman"/>
                <w:i/>
                <w:iCs/>
                <w:color w:val="000000"/>
                <w:sz w:val="24"/>
                <w:szCs w:val="24"/>
              </w:rPr>
              <w:t xml:space="preserve">     FTFY Men</w:t>
            </w:r>
          </w:p>
        </w:tc>
        <w:tc>
          <w:tcPr>
            <w:tcW w:w="900" w:type="dxa"/>
            <w:tcBorders>
              <w:top w:val="nil"/>
              <w:left w:val="nil"/>
              <w:bottom w:val="nil"/>
              <w:right w:val="nil"/>
            </w:tcBorders>
            <w:shd w:val="clear" w:color="auto" w:fill="auto"/>
            <w:noWrap/>
            <w:vAlign w:val="center"/>
            <w:hideMark/>
          </w:tcPr>
          <w:p w14:paraId="04498F42" w14:textId="6096A520" w:rsidR="00C52CEE" w:rsidRPr="00812272" w:rsidRDefault="00C52CEE" w:rsidP="00C52CEE">
            <w:pPr>
              <w:spacing w:after="0" w:line="240" w:lineRule="auto"/>
              <w:jc w:val="center"/>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20.</w:t>
            </w:r>
            <w:r w:rsidR="00B5334F">
              <w:rPr>
                <w:rFonts w:ascii="Times New Roman" w:hAnsi="Times New Roman" w:cs="Times New Roman"/>
                <w:color w:val="000000"/>
                <w:sz w:val="24"/>
                <w:szCs w:val="24"/>
              </w:rPr>
              <w:t>3</w:t>
            </w:r>
            <w:r w:rsidRPr="004B26C9">
              <w:rPr>
                <w:rFonts w:ascii="Times New Roman" w:hAnsi="Times New Roman" w:cs="Times New Roman"/>
                <w:color w:val="000000"/>
                <w:sz w:val="24"/>
                <w:szCs w:val="24"/>
              </w:rPr>
              <w:t>%</w:t>
            </w:r>
          </w:p>
        </w:tc>
        <w:tc>
          <w:tcPr>
            <w:tcW w:w="1620" w:type="dxa"/>
            <w:gridSpan w:val="2"/>
            <w:tcBorders>
              <w:top w:val="nil"/>
              <w:left w:val="nil"/>
              <w:bottom w:val="nil"/>
              <w:right w:val="nil"/>
            </w:tcBorders>
            <w:shd w:val="clear" w:color="auto" w:fill="auto"/>
            <w:noWrap/>
            <w:vAlign w:val="center"/>
            <w:hideMark/>
          </w:tcPr>
          <w:p w14:paraId="150985CF" w14:textId="3FA06EC6" w:rsidR="00C52CEE" w:rsidRPr="00812272" w:rsidRDefault="00C52CEE" w:rsidP="00C52CEE">
            <w:pPr>
              <w:spacing w:after="0" w:line="240" w:lineRule="auto"/>
              <w:jc w:val="center"/>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57.2%</w:t>
            </w:r>
          </w:p>
        </w:tc>
        <w:tc>
          <w:tcPr>
            <w:tcW w:w="1031" w:type="dxa"/>
            <w:gridSpan w:val="3"/>
            <w:tcBorders>
              <w:top w:val="nil"/>
              <w:left w:val="nil"/>
              <w:bottom w:val="nil"/>
              <w:right w:val="nil"/>
            </w:tcBorders>
            <w:shd w:val="clear" w:color="auto" w:fill="auto"/>
            <w:noWrap/>
            <w:vAlign w:val="center"/>
            <w:hideMark/>
          </w:tcPr>
          <w:p w14:paraId="295F1DD5" w14:textId="5736E9C3"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27,</w:t>
            </w:r>
            <w:r w:rsidR="00B5334F">
              <w:rPr>
                <w:rFonts w:ascii="Times New Roman" w:hAnsi="Times New Roman" w:cs="Times New Roman"/>
                <w:color w:val="000000"/>
                <w:sz w:val="24"/>
                <w:szCs w:val="24"/>
              </w:rPr>
              <w:t>370</w:t>
            </w:r>
          </w:p>
        </w:tc>
        <w:tc>
          <w:tcPr>
            <w:tcW w:w="1031" w:type="dxa"/>
            <w:gridSpan w:val="5"/>
            <w:tcBorders>
              <w:top w:val="nil"/>
              <w:left w:val="nil"/>
              <w:bottom w:val="nil"/>
              <w:right w:val="nil"/>
            </w:tcBorders>
            <w:shd w:val="clear" w:color="auto" w:fill="auto"/>
            <w:noWrap/>
            <w:vAlign w:val="center"/>
            <w:hideMark/>
          </w:tcPr>
          <w:p w14:paraId="410840BB" w14:textId="62064F74"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39,8</w:t>
            </w:r>
            <w:r w:rsidR="00B5334F">
              <w:rPr>
                <w:rFonts w:ascii="Times New Roman" w:hAnsi="Times New Roman" w:cs="Times New Roman"/>
                <w:color w:val="000000"/>
                <w:sz w:val="24"/>
                <w:szCs w:val="24"/>
              </w:rPr>
              <w:t>16</w:t>
            </w:r>
          </w:p>
        </w:tc>
        <w:tc>
          <w:tcPr>
            <w:tcW w:w="1032" w:type="dxa"/>
            <w:gridSpan w:val="4"/>
            <w:tcBorders>
              <w:top w:val="nil"/>
              <w:left w:val="nil"/>
              <w:bottom w:val="nil"/>
              <w:right w:val="nil"/>
            </w:tcBorders>
            <w:shd w:val="clear" w:color="auto" w:fill="auto"/>
            <w:noWrap/>
            <w:vAlign w:val="center"/>
            <w:hideMark/>
          </w:tcPr>
          <w:p w14:paraId="74A8234B" w14:textId="1D2848B4"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60,</w:t>
            </w:r>
            <w:r w:rsidR="00B5334F">
              <w:rPr>
                <w:rFonts w:ascii="Times New Roman" w:hAnsi="Times New Roman" w:cs="Times New Roman"/>
                <w:color w:val="000000"/>
                <w:sz w:val="24"/>
                <w:szCs w:val="24"/>
              </w:rPr>
              <w:t>895</w:t>
            </w:r>
          </w:p>
        </w:tc>
        <w:tc>
          <w:tcPr>
            <w:tcW w:w="1031" w:type="dxa"/>
            <w:gridSpan w:val="3"/>
            <w:tcBorders>
              <w:top w:val="nil"/>
              <w:left w:val="nil"/>
              <w:bottom w:val="nil"/>
              <w:right w:val="nil"/>
            </w:tcBorders>
            <w:shd w:val="clear" w:color="auto" w:fill="auto"/>
            <w:noWrap/>
            <w:vAlign w:val="center"/>
            <w:hideMark/>
          </w:tcPr>
          <w:p w14:paraId="715EDA85" w14:textId="3732AB73"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94,</w:t>
            </w:r>
            <w:r w:rsidR="00B5334F">
              <w:rPr>
                <w:rFonts w:ascii="Times New Roman" w:hAnsi="Times New Roman" w:cs="Times New Roman"/>
                <w:color w:val="000000"/>
                <w:sz w:val="24"/>
                <w:szCs w:val="24"/>
              </w:rPr>
              <w:t>5</w:t>
            </w:r>
            <w:r w:rsidRPr="004B26C9">
              <w:rPr>
                <w:rFonts w:ascii="Times New Roman" w:hAnsi="Times New Roman" w:cs="Times New Roman"/>
                <w:color w:val="000000"/>
                <w:sz w:val="24"/>
                <w:szCs w:val="24"/>
              </w:rPr>
              <w:t>00</w:t>
            </w:r>
          </w:p>
        </w:tc>
        <w:tc>
          <w:tcPr>
            <w:tcW w:w="1031" w:type="dxa"/>
            <w:gridSpan w:val="4"/>
            <w:tcBorders>
              <w:top w:val="nil"/>
              <w:left w:val="nil"/>
              <w:bottom w:val="nil"/>
              <w:right w:val="nil"/>
            </w:tcBorders>
            <w:shd w:val="clear" w:color="auto" w:fill="auto"/>
            <w:noWrap/>
            <w:vAlign w:val="center"/>
            <w:hideMark/>
          </w:tcPr>
          <w:p w14:paraId="5EF21E45" w14:textId="024D1CC6"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141,</w:t>
            </w:r>
            <w:r w:rsidR="00B5334F">
              <w:rPr>
                <w:rFonts w:ascii="Times New Roman" w:hAnsi="Times New Roman" w:cs="Times New Roman"/>
                <w:color w:val="000000"/>
                <w:sz w:val="24"/>
                <w:szCs w:val="24"/>
              </w:rPr>
              <w:t>75</w:t>
            </w:r>
            <w:r w:rsidRPr="004B26C9">
              <w:rPr>
                <w:rFonts w:ascii="Times New Roman" w:hAnsi="Times New Roman" w:cs="Times New Roman"/>
                <w:color w:val="000000"/>
                <w:sz w:val="24"/>
                <w:szCs w:val="24"/>
              </w:rPr>
              <w:t>0</w:t>
            </w:r>
          </w:p>
        </w:tc>
        <w:tc>
          <w:tcPr>
            <w:tcW w:w="1032" w:type="dxa"/>
            <w:tcBorders>
              <w:top w:val="nil"/>
              <w:left w:val="nil"/>
              <w:bottom w:val="nil"/>
              <w:right w:val="nil"/>
            </w:tcBorders>
            <w:shd w:val="clear" w:color="auto" w:fill="auto"/>
            <w:noWrap/>
            <w:vAlign w:val="center"/>
            <w:hideMark/>
          </w:tcPr>
          <w:p w14:paraId="098023F2" w14:textId="21FDA72D" w:rsidR="00C52CEE" w:rsidRPr="00812272" w:rsidRDefault="00E94798" w:rsidP="00C52CEE">
            <w:pPr>
              <w:spacing w:after="0" w:line="240" w:lineRule="auto"/>
              <w:jc w:val="right"/>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38</w:t>
            </w:r>
            <w:r w:rsidR="00B5334F">
              <w:rPr>
                <w:rFonts w:ascii="Times New Roman" w:hAnsi="Times New Roman" w:cs="Times New Roman"/>
                <w:color w:val="000000"/>
                <w:sz w:val="24"/>
                <w:szCs w:val="24"/>
              </w:rPr>
              <w:t>2</w:t>
            </w:r>
            <w:r>
              <w:rPr>
                <w:rFonts w:ascii="Times New Roman" w:hAnsi="Times New Roman" w:cs="Times New Roman"/>
                <w:color w:val="000000"/>
                <w:sz w:val="24"/>
                <w:szCs w:val="24"/>
              </w:rPr>
              <w:t>,7</w:t>
            </w:r>
            <w:r w:rsidR="00B5334F">
              <w:rPr>
                <w:rFonts w:ascii="Times New Roman" w:hAnsi="Times New Roman" w:cs="Times New Roman"/>
                <w:color w:val="000000"/>
                <w:sz w:val="24"/>
                <w:szCs w:val="24"/>
              </w:rPr>
              <w:t>26</w:t>
            </w:r>
          </w:p>
        </w:tc>
        <w:tc>
          <w:tcPr>
            <w:tcW w:w="1296" w:type="dxa"/>
            <w:gridSpan w:val="2"/>
            <w:tcBorders>
              <w:top w:val="nil"/>
              <w:left w:val="nil"/>
              <w:bottom w:val="nil"/>
              <w:right w:val="nil"/>
            </w:tcBorders>
            <w:shd w:val="clear" w:color="auto" w:fill="auto"/>
            <w:noWrap/>
            <w:vAlign w:val="center"/>
            <w:hideMark/>
          </w:tcPr>
          <w:p w14:paraId="13EFBD74" w14:textId="614D5E22"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0.39</w:t>
            </w:r>
            <w:r w:rsidR="00B5334F">
              <w:rPr>
                <w:rFonts w:ascii="Times New Roman" w:hAnsi="Times New Roman" w:cs="Times New Roman"/>
                <w:color w:val="000000"/>
                <w:sz w:val="24"/>
                <w:szCs w:val="24"/>
              </w:rPr>
              <w:t>1</w:t>
            </w:r>
          </w:p>
        </w:tc>
      </w:tr>
      <w:tr w:rsidR="00C52CEE" w:rsidRPr="001937FE" w14:paraId="2DFFF775" w14:textId="77777777" w:rsidTr="0018258B">
        <w:trPr>
          <w:gridAfter w:val="2"/>
          <w:wAfter w:w="706" w:type="dxa"/>
          <w:trHeight w:val="310"/>
        </w:trPr>
        <w:tc>
          <w:tcPr>
            <w:tcW w:w="2970" w:type="dxa"/>
            <w:tcBorders>
              <w:top w:val="nil"/>
              <w:left w:val="nil"/>
              <w:bottom w:val="nil"/>
              <w:right w:val="nil"/>
            </w:tcBorders>
            <w:shd w:val="clear" w:color="auto" w:fill="auto"/>
            <w:noWrap/>
            <w:vAlign w:val="center"/>
            <w:hideMark/>
          </w:tcPr>
          <w:p w14:paraId="16A9716A" w14:textId="77777777" w:rsidR="00C52CEE" w:rsidRPr="001937FE" w:rsidRDefault="00C52CEE" w:rsidP="00C52CEE">
            <w:pPr>
              <w:spacing w:after="0" w:line="240" w:lineRule="auto"/>
              <w:rPr>
                <w:rFonts w:ascii="Times New Roman" w:eastAsia="Times New Roman" w:hAnsi="Times New Roman" w:cs="Times New Roman"/>
                <w:i/>
                <w:iCs/>
                <w:color w:val="000000"/>
                <w:sz w:val="24"/>
                <w:szCs w:val="24"/>
              </w:rPr>
            </w:pPr>
            <w:r w:rsidRPr="001937FE">
              <w:rPr>
                <w:rFonts w:ascii="Times New Roman" w:eastAsia="Times New Roman" w:hAnsi="Times New Roman" w:cs="Times New Roman"/>
                <w:i/>
                <w:iCs/>
                <w:color w:val="000000"/>
                <w:sz w:val="24"/>
                <w:szCs w:val="24"/>
              </w:rPr>
              <w:t xml:space="preserve">     FTFY Women</w:t>
            </w:r>
          </w:p>
        </w:tc>
        <w:tc>
          <w:tcPr>
            <w:tcW w:w="900" w:type="dxa"/>
            <w:tcBorders>
              <w:top w:val="nil"/>
              <w:left w:val="nil"/>
              <w:bottom w:val="nil"/>
              <w:right w:val="nil"/>
            </w:tcBorders>
            <w:shd w:val="clear" w:color="auto" w:fill="auto"/>
            <w:noWrap/>
            <w:vAlign w:val="center"/>
            <w:hideMark/>
          </w:tcPr>
          <w:p w14:paraId="7D70BC75" w14:textId="3F574ECD" w:rsidR="00C52CEE" w:rsidRPr="00812272" w:rsidRDefault="00C52CEE" w:rsidP="00C52CEE">
            <w:pPr>
              <w:spacing w:after="0" w:line="240" w:lineRule="auto"/>
              <w:jc w:val="center"/>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19.</w:t>
            </w:r>
            <w:r w:rsidR="00402886">
              <w:rPr>
                <w:rFonts w:ascii="Times New Roman" w:hAnsi="Times New Roman" w:cs="Times New Roman"/>
                <w:color w:val="000000"/>
                <w:sz w:val="24"/>
                <w:szCs w:val="24"/>
              </w:rPr>
              <w:t>8</w:t>
            </w:r>
            <w:r w:rsidRPr="004B26C9">
              <w:rPr>
                <w:rFonts w:ascii="Times New Roman" w:hAnsi="Times New Roman" w:cs="Times New Roman"/>
                <w:color w:val="000000"/>
                <w:sz w:val="24"/>
                <w:szCs w:val="24"/>
              </w:rPr>
              <w:t>%</w:t>
            </w:r>
          </w:p>
        </w:tc>
        <w:tc>
          <w:tcPr>
            <w:tcW w:w="1620" w:type="dxa"/>
            <w:gridSpan w:val="2"/>
            <w:tcBorders>
              <w:top w:val="nil"/>
              <w:left w:val="nil"/>
              <w:bottom w:val="nil"/>
              <w:right w:val="nil"/>
            </w:tcBorders>
            <w:shd w:val="clear" w:color="auto" w:fill="auto"/>
            <w:noWrap/>
            <w:vAlign w:val="center"/>
            <w:hideMark/>
          </w:tcPr>
          <w:p w14:paraId="68FAC33F" w14:textId="75F01759" w:rsidR="00C52CEE" w:rsidRPr="00812272" w:rsidRDefault="00C52CEE" w:rsidP="00C52CEE">
            <w:pPr>
              <w:spacing w:after="0" w:line="240" w:lineRule="auto"/>
              <w:jc w:val="center"/>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64.2%</w:t>
            </w:r>
          </w:p>
        </w:tc>
        <w:tc>
          <w:tcPr>
            <w:tcW w:w="1031" w:type="dxa"/>
            <w:gridSpan w:val="3"/>
            <w:tcBorders>
              <w:top w:val="nil"/>
              <w:left w:val="nil"/>
              <w:bottom w:val="nil"/>
              <w:right w:val="nil"/>
            </w:tcBorders>
            <w:shd w:val="clear" w:color="auto" w:fill="auto"/>
            <w:noWrap/>
            <w:vAlign w:val="center"/>
            <w:hideMark/>
          </w:tcPr>
          <w:p w14:paraId="772133B5" w14:textId="59156535"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23,42</w:t>
            </w:r>
            <w:r w:rsidR="00CE5851">
              <w:rPr>
                <w:rFonts w:ascii="Times New Roman" w:hAnsi="Times New Roman" w:cs="Times New Roman"/>
                <w:color w:val="000000"/>
                <w:sz w:val="24"/>
                <w:szCs w:val="24"/>
              </w:rPr>
              <w:t>1</w:t>
            </w:r>
          </w:p>
        </w:tc>
        <w:tc>
          <w:tcPr>
            <w:tcW w:w="1031" w:type="dxa"/>
            <w:gridSpan w:val="5"/>
            <w:tcBorders>
              <w:top w:val="nil"/>
              <w:left w:val="nil"/>
              <w:bottom w:val="nil"/>
              <w:right w:val="nil"/>
            </w:tcBorders>
            <w:shd w:val="clear" w:color="auto" w:fill="auto"/>
            <w:noWrap/>
            <w:vAlign w:val="center"/>
            <w:hideMark/>
          </w:tcPr>
          <w:p w14:paraId="4FC98F34" w14:textId="5D30259C"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3</w:t>
            </w:r>
            <w:r w:rsidR="00CE5851">
              <w:rPr>
                <w:rFonts w:ascii="Times New Roman" w:hAnsi="Times New Roman" w:cs="Times New Roman"/>
                <w:color w:val="000000"/>
                <w:sz w:val="24"/>
                <w:szCs w:val="24"/>
              </w:rPr>
              <w:t>3</w:t>
            </w:r>
            <w:r w:rsidRPr="004B26C9">
              <w:rPr>
                <w:rFonts w:ascii="Times New Roman" w:hAnsi="Times New Roman" w:cs="Times New Roman"/>
                <w:color w:val="000000"/>
                <w:sz w:val="24"/>
                <w:szCs w:val="24"/>
              </w:rPr>
              <w:t>,</w:t>
            </w:r>
            <w:r w:rsidR="00CE5851">
              <w:rPr>
                <w:rFonts w:ascii="Times New Roman" w:hAnsi="Times New Roman" w:cs="Times New Roman"/>
                <w:color w:val="000000"/>
                <w:sz w:val="24"/>
                <w:szCs w:val="24"/>
              </w:rPr>
              <w:t>075</w:t>
            </w:r>
          </w:p>
        </w:tc>
        <w:tc>
          <w:tcPr>
            <w:tcW w:w="1032" w:type="dxa"/>
            <w:gridSpan w:val="4"/>
            <w:tcBorders>
              <w:top w:val="nil"/>
              <w:left w:val="nil"/>
              <w:bottom w:val="nil"/>
              <w:right w:val="nil"/>
            </w:tcBorders>
            <w:shd w:val="clear" w:color="auto" w:fill="auto"/>
            <w:noWrap/>
            <w:vAlign w:val="center"/>
            <w:hideMark/>
          </w:tcPr>
          <w:p w14:paraId="02879FD3" w14:textId="5C0D18EB"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47,</w:t>
            </w:r>
            <w:r w:rsidR="00CE5851">
              <w:rPr>
                <w:rFonts w:ascii="Times New Roman" w:hAnsi="Times New Roman" w:cs="Times New Roman"/>
                <w:color w:val="000000"/>
                <w:sz w:val="24"/>
                <w:szCs w:val="24"/>
              </w:rPr>
              <w:t>250</w:t>
            </w:r>
          </w:p>
        </w:tc>
        <w:tc>
          <w:tcPr>
            <w:tcW w:w="1031" w:type="dxa"/>
            <w:gridSpan w:val="3"/>
            <w:tcBorders>
              <w:top w:val="nil"/>
              <w:left w:val="nil"/>
              <w:bottom w:val="nil"/>
              <w:right w:val="nil"/>
            </w:tcBorders>
            <w:shd w:val="clear" w:color="auto" w:fill="auto"/>
            <w:noWrap/>
            <w:vAlign w:val="center"/>
            <w:hideMark/>
          </w:tcPr>
          <w:p w14:paraId="280B24A4" w14:textId="746178F9"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70,</w:t>
            </w:r>
            <w:r w:rsidR="00CE5851">
              <w:rPr>
                <w:rFonts w:ascii="Times New Roman" w:hAnsi="Times New Roman" w:cs="Times New Roman"/>
                <w:color w:val="000000"/>
                <w:sz w:val="24"/>
                <w:szCs w:val="24"/>
              </w:rPr>
              <w:t>875</w:t>
            </w:r>
          </w:p>
        </w:tc>
        <w:tc>
          <w:tcPr>
            <w:tcW w:w="1031" w:type="dxa"/>
            <w:gridSpan w:val="4"/>
            <w:tcBorders>
              <w:top w:val="nil"/>
              <w:left w:val="nil"/>
              <w:bottom w:val="nil"/>
              <w:right w:val="nil"/>
            </w:tcBorders>
            <w:shd w:val="clear" w:color="auto" w:fill="auto"/>
            <w:noWrap/>
            <w:vAlign w:val="center"/>
            <w:hideMark/>
          </w:tcPr>
          <w:p w14:paraId="4E8969E4" w14:textId="6D31441B"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103,</w:t>
            </w:r>
            <w:r w:rsidR="00CE5851">
              <w:rPr>
                <w:rFonts w:ascii="Times New Roman" w:hAnsi="Times New Roman" w:cs="Times New Roman"/>
                <w:color w:val="000000"/>
                <w:sz w:val="24"/>
                <w:szCs w:val="24"/>
              </w:rPr>
              <w:t>95</w:t>
            </w:r>
            <w:r w:rsidRPr="004B26C9">
              <w:rPr>
                <w:rFonts w:ascii="Times New Roman" w:hAnsi="Times New Roman" w:cs="Times New Roman"/>
                <w:color w:val="000000"/>
                <w:sz w:val="24"/>
                <w:szCs w:val="24"/>
              </w:rPr>
              <w:t>0</w:t>
            </w:r>
          </w:p>
        </w:tc>
        <w:tc>
          <w:tcPr>
            <w:tcW w:w="1032" w:type="dxa"/>
            <w:tcBorders>
              <w:top w:val="nil"/>
              <w:left w:val="nil"/>
              <w:bottom w:val="nil"/>
              <w:right w:val="nil"/>
            </w:tcBorders>
            <w:shd w:val="clear" w:color="auto" w:fill="auto"/>
            <w:noWrap/>
            <w:vAlign w:val="center"/>
            <w:hideMark/>
          </w:tcPr>
          <w:p w14:paraId="08B03728" w14:textId="0D229651"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28</w:t>
            </w:r>
            <w:r w:rsidR="00AB0D65">
              <w:rPr>
                <w:rFonts w:ascii="Times New Roman" w:hAnsi="Times New Roman" w:cs="Times New Roman"/>
                <w:color w:val="000000"/>
                <w:sz w:val="24"/>
                <w:szCs w:val="24"/>
              </w:rPr>
              <w:t>3</w:t>
            </w:r>
            <w:r w:rsidRPr="004B26C9">
              <w:rPr>
                <w:rFonts w:ascii="Times New Roman" w:hAnsi="Times New Roman" w:cs="Times New Roman"/>
                <w:color w:val="000000"/>
                <w:sz w:val="24"/>
                <w:szCs w:val="24"/>
              </w:rPr>
              <w:t>,</w:t>
            </w:r>
            <w:r w:rsidR="00AB0D65">
              <w:rPr>
                <w:rFonts w:ascii="Times New Roman" w:hAnsi="Times New Roman" w:cs="Times New Roman"/>
                <w:color w:val="000000"/>
                <w:sz w:val="24"/>
                <w:szCs w:val="24"/>
              </w:rPr>
              <w:t>5</w:t>
            </w:r>
            <w:r w:rsidRPr="004B26C9">
              <w:rPr>
                <w:rFonts w:ascii="Times New Roman" w:hAnsi="Times New Roman" w:cs="Times New Roman"/>
                <w:color w:val="000000"/>
                <w:sz w:val="24"/>
                <w:szCs w:val="24"/>
              </w:rPr>
              <w:t>00</w:t>
            </w:r>
          </w:p>
        </w:tc>
        <w:tc>
          <w:tcPr>
            <w:tcW w:w="1296" w:type="dxa"/>
            <w:gridSpan w:val="2"/>
            <w:tcBorders>
              <w:top w:val="nil"/>
              <w:left w:val="nil"/>
              <w:bottom w:val="nil"/>
              <w:right w:val="nil"/>
            </w:tcBorders>
            <w:shd w:val="clear" w:color="auto" w:fill="auto"/>
            <w:noWrap/>
            <w:vAlign w:val="center"/>
            <w:hideMark/>
          </w:tcPr>
          <w:p w14:paraId="6B40BF83" w14:textId="6626D05B"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0.36</w:t>
            </w:r>
            <w:r w:rsidR="00AB0D65">
              <w:rPr>
                <w:rFonts w:ascii="Times New Roman" w:hAnsi="Times New Roman" w:cs="Times New Roman"/>
                <w:color w:val="000000"/>
                <w:sz w:val="24"/>
                <w:szCs w:val="24"/>
              </w:rPr>
              <w:t>3</w:t>
            </w:r>
          </w:p>
        </w:tc>
      </w:tr>
      <w:tr w:rsidR="00C52CEE" w:rsidRPr="001937FE" w14:paraId="71D71417" w14:textId="77777777" w:rsidTr="0018258B">
        <w:trPr>
          <w:gridAfter w:val="2"/>
          <w:wAfter w:w="706" w:type="dxa"/>
          <w:trHeight w:val="310"/>
        </w:trPr>
        <w:tc>
          <w:tcPr>
            <w:tcW w:w="2970" w:type="dxa"/>
            <w:tcBorders>
              <w:top w:val="nil"/>
              <w:left w:val="nil"/>
              <w:bottom w:val="nil"/>
              <w:right w:val="nil"/>
            </w:tcBorders>
            <w:shd w:val="clear" w:color="auto" w:fill="auto"/>
            <w:noWrap/>
            <w:vAlign w:val="center"/>
            <w:hideMark/>
          </w:tcPr>
          <w:p w14:paraId="4FC50883" w14:textId="77777777" w:rsidR="00C52CEE" w:rsidRPr="001937FE" w:rsidRDefault="00C52CEE" w:rsidP="00C52CEE">
            <w:pPr>
              <w:spacing w:after="0" w:line="240" w:lineRule="auto"/>
              <w:rPr>
                <w:rFonts w:ascii="Times New Roman" w:eastAsia="Times New Roman" w:hAnsi="Times New Roman" w:cs="Times New Roman"/>
                <w:i/>
                <w:iCs/>
                <w:color w:val="000000"/>
                <w:sz w:val="24"/>
                <w:szCs w:val="24"/>
              </w:rPr>
            </w:pPr>
            <w:r w:rsidRPr="001937FE">
              <w:rPr>
                <w:rFonts w:ascii="Times New Roman" w:eastAsia="Times New Roman" w:hAnsi="Times New Roman" w:cs="Times New Roman"/>
                <w:i/>
                <w:iCs/>
                <w:color w:val="000000"/>
                <w:sz w:val="24"/>
                <w:szCs w:val="24"/>
              </w:rPr>
              <w:t xml:space="preserve">     All Men</w:t>
            </w:r>
          </w:p>
        </w:tc>
        <w:tc>
          <w:tcPr>
            <w:tcW w:w="900" w:type="dxa"/>
            <w:tcBorders>
              <w:top w:val="nil"/>
              <w:left w:val="nil"/>
              <w:bottom w:val="nil"/>
              <w:right w:val="nil"/>
            </w:tcBorders>
            <w:shd w:val="clear" w:color="auto" w:fill="auto"/>
            <w:noWrap/>
            <w:vAlign w:val="center"/>
            <w:hideMark/>
          </w:tcPr>
          <w:p w14:paraId="54E46E98" w14:textId="5FFC6A2C" w:rsidR="00C52CEE" w:rsidRPr="00812272" w:rsidRDefault="00C52CEE" w:rsidP="00C52CEE">
            <w:pPr>
              <w:spacing w:after="0" w:line="240" w:lineRule="auto"/>
              <w:jc w:val="center"/>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19.9%</w:t>
            </w:r>
          </w:p>
        </w:tc>
        <w:tc>
          <w:tcPr>
            <w:tcW w:w="1620" w:type="dxa"/>
            <w:gridSpan w:val="2"/>
            <w:tcBorders>
              <w:top w:val="nil"/>
              <w:left w:val="nil"/>
              <w:bottom w:val="nil"/>
              <w:right w:val="nil"/>
            </w:tcBorders>
            <w:shd w:val="clear" w:color="auto" w:fill="auto"/>
            <w:noWrap/>
            <w:vAlign w:val="center"/>
            <w:hideMark/>
          </w:tcPr>
          <w:p w14:paraId="5A73915D" w14:textId="521489BF" w:rsidR="00C52CEE" w:rsidRPr="00812272" w:rsidRDefault="00402886" w:rsidP="00C52CEE">
            <w:pPr>
              <w:spacing w:after="0" w:line="240" w:lineRule="auto"/>
              <w:jc w:val="center"/>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5</w:t>
            </w:r>
            <w:r>
              <w:rPr>
                <w:rFonts w:ascii="Times New Roman" w:hAnsi="Times New Roman" w:cs="Times New Roman"/>
                <w:color w:val="000000"/>
                <w:sz w:val="24"/>
                <w:szCs w:val="24"/>
              </w:rPr>
              <w:t>9</w:t>
            </w:r>
            <w:r w:rsidR="00C52CEE" w:rsidRPr="004B26C9">
              <w:rPr>
                <w:rFonts w:ascii="Times New Roman" w:hAnsi="Times New Roman" w:cs="Times New Roman"/>
                <w:color w:val="000000"/>
                <w:sz w:val="24"/>
                <w:szCs w:val="24"/>
              </w:rPr>
              <w:t>.</w:t>
            </w:r>
            <w:r>
              <w:rPr>
                <w:rFonts w:ascii="Times New Roman" w:hAnsi="Times New Roman" w:cs="Times New Roman"/>
                <w:color w:val="000000"/>
                <w:sz w:val="24"/>
                <w:szCs w:val="24"/>
              </w:rPr>
              <w:t>0</w:t>
            </w:r>
            <w:r w:rsidR="00C52CEE" w:rsidRPr="004B26C9">
              <w:rPr>
                <w:rFonts w:ascii="Times New Roman" w:hAnsi="Times New Roman" w:cs="Times New Roman"/>
                <w:color w:val="000000"/>
                <w:sz w:val="24"/>
                <w:szCs w:val="24"/>
              </w:rPr>
              <w:t>%</w:t>
            </w:r>
          </w:p>
        </w:tc>
        <w:tc>
          <w:tcPr>
            <w:tcW w:w="1031" w:type="dxa"/>
            <w:gridSpan w:val="3"/>
            <w:tcBorders>
              <w:top w:val="nil"/>
              <w:left w:val="nil"/>
              <w:bottom w:val="nil"/>
              <w:right w:val="nil"/>
            </w:tcBorders>
            <w:shd w:val="clear" w:color="auto" w:fill="auto"/>
            <w:noWrap/>
            <w:vAlign w:val="center"/>
            <w:hideMark/>
          </w:tcPr>
          <w:p w14:paraId="1E9C75F4" w14:textId="22C40832"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0</w:t>
            </w:r>
          </w:p>
        </w:tc>
        <w:tc>
          <w:tcPr>
            <w:tcW w:w="1031" w:type="dxa"/>
            <w:gridSpan w:val="5"/>
            <w:tcBorders>
              <w:top w:val="nil"/>
              <w:left w:val="nil"/>
              <w:bottom w:val="nil"/>
              <w:right w:val="nil"/>
            </w:tcBorders>
            <w:shd w:val="clear" w:color="auto" w:fill="auto"/>
            <w:noWrap/>
            <w:vAlign w:val="center"/>
            <w:hideMark/>
          </w:tcPr>
          <w:p w14:paraId="7365CAF5" w14:textId="557B29D3"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27,300</w:t>
            </w:r>
          </w:p>
        </w:tc>
        <w:tc>
          <w:tcPr>
            <w:tcW w:w="1032" w:type="dxa"/>
            <w:gridSpan w:val="4"/>
            <w:tcBorders>
              <w:top w:val="nil"/>
              <w:left w:val="nil"/>
              <w:bottom w:val="nil"/>
              <w:right w:val="nil"/>
            </w:tcBorders>
            <w:shd w:val="clear" w:color="auto" w:fill="auto"/>
            <w:noWrap/>
            <w:vAlign w:val="center"/>
            <w:hideMark/>
          </w:tcPr>
          <w:p w14:paraId="2328177C" w14:textId="289E7DFD"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51,</w:t>
            </w:r>
            <w:r w:rsidR="00964739">
              <w:rPr>
                <w:rFonts w:ascii="Times New Roman" w:hAnsi="Times New Roman" w:cs="Times New Roman"/>
                <w:color w:val="000000"/>
                <w:sz w:val="24"/>
                <w:szCs w:val="24"/>
              </w:rPr>
              <w:t>2</w:t>
            </w:r>
            <w:r w:rsidRPr="004B26C9">
              <w:rPr>
                <w:rFonts w:ascii="Times New Roman" w:hAnsi="Times New Roman" w:cs="Times New Roman"/>
                <w:color w:val="000000"/>
                <w:sz w:val="24"/>
                <w:szCs w:val="24"/>
              </w:rPr>
              <w:t>57</w:t>
            </w:r>
          </w:p>
        </w:tc>
        <w:tc>
          <w:tcPr>
            <w:tcW w:w="1031" w:type="dxa"/>
            <w:gridSpan w:val="3"/>
            <w:tcBorders>
              <w:top w:val="nil"/>
              <w:left w:val="nil"/>
              <w:bottom w:val="nil"/>
              <w:right w:val="nil"/>
            </w:tcBorders>
            <w:shd w:val="clear" w:color="auto" w:fill="auto"/>
            <w:noWrap/>
            <w:vAlign w:val="center"/>
            <w:hideMark/>
          </w:tcPr>
          <w:p w14:paraId="5419BAE6" w14:textId="362F1B06"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84,630</w:t>
            </w:r>
          </w:p>
        </w:tc>
        <w:tc>
          <w:tcPr>
            <w:tcW w:w="1031" w:type="dxa"/>
            <w:gridSpan w:val="4"/>
            <w:tcBorders>
              <w:top w:val="nil"/>
              <w:left w:val="nil"/>
              <w:bottom w:val="nil"/>
              <w:right w:val="nil"/>
            </w:tcBorders>
            <w:shd w:val="clear" w:color="auto" w:fill="auto"/>
            <w:noWrap/>
            <w:vAlign w:val="center"/>
            <w:hideMark/>
          </w:tcPr>
          <w:p w14:paraId="7A23F500" w14:textId="482C87AD"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131,950</w:t>
            </w:r>
          </w:p>
        </w:tc>
        <w:tc>
          <w:tcPr>
            <w:tcW w:w="1032" w:type="dxa"/>
            <w:tcBorders>
              <w:top w:val="nil"/>
              <w:left w:val="nil"/>
              <w:bottom w:val="nil"/>
              <w:right w:val="nil"/>
            </w:tcBorders>
            <w:shd w:val="clear" w:color="auto" w:fill="auto"/>
            <w:noWrap/>
            <w:vAlign w:val="center"/>
            <w:hideMark/>
          </w:tcPr>
          <w:p w14:paraId="507AECF9" w14:textId="6F5DD129"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364,000</w:t>
            </w:r>
          </w:p>
        </w:tc>
        <w:tc>
          <w:tcPr>
            <w:tcW w:w="1296" w:type="dxa"/>
            <w:gridSpan w:val="2"/>
            <w:tcBorders>
              <w:top w:val="nil"/>
              <w:left w:val="nil"/>
              <w:bottom w:val="nil"/>
              <w:right w:val="nil"/>
            </w:tcBorders>
            <w:shd w:val="clear" w:color="auto" w:fill="auto"/>
            <w:noWrap/>
            <w:vAlign w:val="center"/>
            <w:hideMark/>
          </w:tcPr>
          <w:p w14:paraId="16E1DC8F" w14:textId="7D2DFF83" w:rsidR="00C52CEE" w:rsidRPr="00812272" w:rsidRDefault="00C52CEE" w:rsidP="00C52CEE">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0.480</w:t>
            </w:r>
          </w:p>
        </w:tc>
      </w:tr>
      <w:tr w:rsidR="0018258B" w:rsidRPr="001937FE" w14:paraId="50513C7A" w14:textId="77777777" w:rsidTr="00FD540E">
        <w:trPr>
          <w:gridAfter w:val="2"/>
          <w:wAfter w:w="706" w:type="dxa"/>
          <w:trHeight w:val="20"/>
        </w:trPr>
        <w:tc>
          <w:tcPr>
            <w:tcW w:w="2970" w:type="dxa"/>
            <w:tcBorders>
              <w:top w:val="nil"/>
              <w:left w:val="nil"/>
              <w:bottom w:val="nil"/>
              <w:right w:val="nil"/>
            </w:tcBorders>
            <w:shd w:val="clear" w:color="auto" w:fill="auto"/>
            <w:noWrap/>
            <w:vAlign w:val="bottom"/>
            <w:hideMark/>
          </w:tcPr>
          <w:p w14:paraId="632AB4C2" w14:textId="77777777" w:rsidR="0018258B" w:rsidRPr="00FD540E" w:rsidRDefault="0018258B" w:rsidP="00E244D1">
            <w:pPr>
              <w:spacing w:after="0" w:line="240" w:lineRule="auto"/>
              <w:jc w:val="right"/>
              <w:rPr>
                <w:rFonts w:ascii="Times New Roman" w:eastAsia="Times New Roman" w:hAnsi="Times New Roman" w:cs="Times New Roman"/>
                <w:color w:val="000000"/>
                <w:sz w:val="8"/>
                <w:szCs w:val="8"/>
              </w:rPr>
            </w:pPr>
          </w:p>
        </w:tc>
        <w:tc>
          <w:tcPr>
            <w:tcW w:w="900" w:type="dxa"/>
            <w:tcBorders>
              <w:top w:val="nil"/>
              <w:left w:val="nil"/>
              <w:bottom w:val="nil"/>
              <w:right w:val="nil"/>
            </w:tcBorders>
            <w:shd w:val="clear" w:color="auto" w:fill="auto"/>
            <w:noWrap/>
            <w:vAlign w:val="bottom"/>
            <w:hideMark/>
          </w:tcPr>
          <w:p w14:paraId="786560CC" w14:textId="77777777" w:rsidR="0018258B" w:rsidRPr="00FD540E" w:rsidRDefault="0018258B" w:rsidP="00E244D1">
            <w:pPr>
              <w:spacing w:after="0" w:line="240" w:lineRule="auto"/>
              <w:rPr>
                <w:rFonts w:ascii="Times New Roman" w:eastAsia="Times New Roman" w:hAnsi="Times New Roman" w:cs="Times New Roman"/>
                <w:sz w:val="8"/>
                <w:szCs w:val="8"/>
              </w:rPr>
            </w:pPr>
          </w:p>
        </w:tc>
        <w:tc>
          <w:tcPr>
            <w:tcW w:w="1620" w:type="dxa"/>
            <w:gridSpan w:val="2"/>
            <w:tcBorders>
              <w:top w:val="nil"/>
              <w:left w:val="nil"/>
              <w:bottom w:val="single" w:sz="8" w:space="0" w:color="auto"/>
              <w:right w:val="nil"/>
            </w:tcBorders>
            <w:shd w:val="clear" w:color="auto" w:fill="auto"/>
            <w:noWrap/>
            <w:vAlign w:val="center"/>
            <w:hideMark/>
          </w:tcPr>
          <w:p w14:paraId="643F68A5" w14:textId="77777777" w:rsidR="0018258B" w:rsidRPr="00FD540E" w:rsidRDefault="0018258B" w:rsidP="00E244D1">
            <w:pPr>
              <w:spacing w:after="0" w:line="240" w:lineRule="auto"/>
              <w:rPr>
                <w:rFonts w:ascii="Times New Roman" w:eastAsia="Times New Roman" w:hAnsi="Times New Roman" w:cs="Times New Roman"/>
                <w:color w:val="000000"/>
                <w:sz w:val="8"/>
                <w:szCs w:val="8"/>
              </w:rPr>
            </w:pPr>
            <w:r w:rsidRPr="00FD540E">
              <w:rPr>
                <w:rFonts w:ascii="Times New Roman" w:eastAsia="Times New Roman" w:hAnsi="Times New Roman" w:cs="Times New Roman"/>
                <w:color w:val="000000"/>
                <w:sz w:val="8"/>
                <w:szCs w:val="8"/>
              </w:rPr>
              <w:t> </w:t>
            </w:r>
          </w:p>
        </w:tc>
        <w:tc>
          <w:tcPr>
            <w:tcW w:w="1080" w:type="dxa"/>
            <w:gridSpan w:val="4"/>
            <w:tcBorders>
              <w:top w:val="nil"/>
              <w:left w:val="nil"/>
              <w:bottom w:val="nil"/>
              <w:right w:val="nil"/>
            </w:tcBorders>
            <w:shd w:val="clear" w:color="auto" w:fill="auto"/>
            <w:noWrap/>
            <w:vAlign w:val="bottom"/>
            <w:hideMark/>
          </w:tcPr>
          <w:p w14:paraId="6F9E6991" w14:textId="77777777" w:rsidR="0018258B" w:rsidRPr="00FD540E" w:rsidRDefault="0018258B" w:rsidP="00E244D1">
            <w:pPr>
              <w:spacing w:after="0" w:line="240" w:lineRule="auto"/>
              <w:rPr>
                <w:rFonts w:ascii="Times New Roman" w:eastAsia="Times New Roman" w:hAnsi="Times New Roman" w:cs="Times New Roman"/>
                <w:color w:val="000000"/>
                <w:sz w:val="8"/>
                <w:szCs w:val="8"/>
              </w:rPr>
            </w:pPr>
          </w:p>
        </w:tc>
        <w:tc>
          <w:tcPr>
            <w:tcW w:w="900" w:type="dxa"/>
            <w:gridSpan w:val="3"/>
            <w:tcBorders>
              <w:top w:val="nil"/>
              <w:left w:val="nil"/>
              <w:bottom w:val="single" w:sz="8" w:space="0" w:color="auto"/>
              <w:right w:val="nil"/>
            </w:tcBorders>
            <w:shd w:val="clear" w:color="auto" w:fill="auto"/>
            <w:noWrap/>
            <w:vAlign w:val="center"/>
            <w:hideMark/>
          </w:tcPr>
          <w:p w14:paraId="2B44C189" w14:textId="77777777" w:rsidR="0018258B" w:rsidRPr="00FD540E" w:rsidRDefault="0018258B" w:rsidP="00E244D1">
            <w:pPr>
              <w:spacing w:after="0" w:line="240" w:lineRule="auto"/>
              <w:rPr>
                <w:rFonts w:ascii="Times New Roman" w:eastAsia="Times New Roman" w:hAnsi="Times New Roman" w:cs="Times New Roman"/>
                <w:color w:val="000000"/>
                <w:sz w:val="8"/>
                <w:szCs w:val="8"/>
              </w:rPr>
            </w:pPr>
            <w:r w:rsidRPr="00FD540E">
              <w:rPr>
                <w:rFonts w:ascii="Times New Roman" w:eastAsia="Times New Roman" w:hAnsi="Times New Roman" w:cs="Times New Roman"/>
                <w:color w:val="000000"/>
                <w:sz w:val="8"/>
                <w:szCs w:val="8"/>
              </w:rPr>
              <w:t> </w:t>
            </w:r>
          </w:p>
        </w:tc>
        <w:tc>
          <w:tcPr>
            <w:tcW w:w="876" w:type="dxa"/>
            <w:gridSpan w:val="4"/>
            <w:tcBorders>
              <w:top w:val="nil"/>
              <w:left w:val="nil"/>
              <w:bottom w:val="single" w:sz="8" w:space="0" w:color="auto"/>
              <w:right w:val="nil"/>
            </w:tcBorders>
            <w:shd w:val="clear" w:color="auto" w:fill="auto"/>
            <w:noWrap/>
            <w:vAlign w:val="center"/>
            <w:hideMark/>
          </w:tcPr>
          <w:p w14:paraId="07C160F1" w14:textId="77777777" w:rsidR="0018258B" w:rsidRPr="00FD540E" w:rsidRDefault="0018258B" w:rsidP="00E244D1">
            <w:pPr>
              <w:spacing w:after="0" w:line="240" w:lineRule="auto"/>
              <w:rPr>
                <w:rFonts w:ascii="Times New Roman" w:eastAsia="Times New Roman" w:hAnsi="Times New Roman" w:cs="Times New Roman"/>
                <w:color w:val="000000"/>
                <w:sz w:val="8"/>
                <w:szCs w:val="8"/>
              </w:rPr>
            </w:pPr>
            <w:r w:rsidRPr="00FD540E">
              <w:rPr>
                <w:rFonts w:ascii="Times New Roman" w:eastAsia="Times New Roman" w:hAnsi="Times New Roman" w:cs="Times New Roman"/>
                <w:color w:val="000000"/>
                <w:sz w:val="8"/>
                <w:szCs w:val="8"/>
              </w:rPr>
              <w:t> </w:t>
            </w:r>
          </w:p>
        </w:tc>
        <w:tc>
          <w:tcPr>
            <w:tcW w:w="992" w:type="dxa"/>
            <w:gridSpan w:val="2"/>
            <w:tcBorders>
              <w:top w:val="nil"/>
              <w:left w:val="nil"/>
              <w:bottom w:val="nil"/>
              <w:right w:val="nil"/>
            </w:tcBorders>
            <w:shd w:val="clear" w:color="auto" w:fill="auto"/>
            <w:noWrap/>
            <w:vAlign w:val="bottom"/>
            <w:hideMark/>
          </w:tcPr>
          <w:p w14:paraId="20B0AB8F" w14:textId="77777777" w:rsidR="0018258B" w:rsidRPr="00FD540E" w:rsidRDefault="0018258B" w:rsidP="00E244D1">
            <w:pPr>
              <w:spacing w:after="0" w:line="240" w:lineRule="auto"/>
              <w:rPr>
                <w:rFonts w:ascii="Times New Roman" w:eastAsia="Times New Roman" w:hAnsi="Times New Roman" w:cs="Times New Roman"/>
                <w:color w:val="000000"/>
                <w:sz w:val="8"/>
                <w:szCs w:val="8"/>
              </w:rPr>
            </w:pPr>
          </w:p>
        </w:tc>
        <w:tc>
          <w:tcPr>
            <w:tcW w:w="1170" w:type="dxa"/>
            <w:gridSpan w:val="3"/>
            <w:tcBorders>
              <w:top w:val="nil"/>
              <w:left w:val="nil"/>
              <w:bottom w:val="nil"/>
              <w:right w:val="nil"/>
            </w:tcBorders>
            <w:shd w:val="clear" w:color="auto" w:fill="auto"/>
            <w:noWrap/>
            <w:vAlign w:val="bottom"/>
            <w:hideMark/>
          </w:tcPr>
          <w:p w14:paraId="34B254A8" w14:textId="77777777" w:rsidR="0018258B" w:rsidRPr="00FD540E" w:rsidRDefault="0018258B" w:rsidP="00E244D1">
            <w:pPr>
              <w:spacing w:after="0" w:line="240" w:lineRule="auto"/>
              <w:rPr>
                <w:rFonts w:ascii="Times New Roman" w:eastAsia="Times New Roman" w:hAnsi="Times New Roman" w:cs="Times New Roman"/>
                <w:sz w:val="8"/>
                <w:szCs w:val="8"/>
              </w:rPr>
            </w:pPr>
          </w:p>
        </w:tc>
        <w:tc>
          <w:tcPr>
            <w:tcW w:w="1170" w:type="dxa"/>
            <w:gridSpan w:val="4"/>
            <w:tcBorders>
              <w:top w:val="nil"/>
              <w:left w:val="nil"/>
              <w:bottom w:val="single" w:sz="8" w:space="0" w:color="auto"/>
              <w:right w:val="nil"/>
            </w:tcBorders>
            <w:shd w:val="clear" w:color="auto" w:fill="auto"/>
            <w:noWrap/>
            <w:vAlign w:val="center"/>
            <w:hideMark/>
          </w:tcPr>
          <w:p w14:paraId="3866845A" w14:textId="77777777" w:rsidR="0018258B" w:rsidRPr="00FD540E" w:rsidRDefault="0018258B" w:rsidP="00E244D1">
            <w:pPr>
              <w:spacing w:after="0" w:line="240" w:lineRule="auto"/>
              <w:rPr>
                <w:rFonts w:ascii="Times New Roman" w:eastAsia="Times New Roman" w:hAnsi="Times New Roman" w:cs="Times New Roman"/>
                <w:color w:val="000000"/>
                <w:sz w:val="8"/>
                <w:szCs w:val="8"/>
              </w:rPr>
            </w:pPr>
            <w:r w:rsidRPr="00FD540E">
              <w:rPr>
                <w:rFonts w:ascii="Times New Roman" w:eastAsia="Times New Roman" w:hAnsi="Times New Roman" w:cs="Times New Roman"/>
                <w:color w:val="000000"/>
                <w:sz w:val="8"/>
                <w:szCs w:val="8"/>
              </w:rPr>
              <w:t> </w:t>
            </w:r>
          </w:p>
        </w:tc>
        <w:tc>
          <w:tcPr>
            <w:tcW w:w="1296" w:type="dxa"/>
            <w:gridSpan w:val="2"/>
            <w:tcBorders>
              <w:top w:val="nil"/>
              <w:left w:val="nil"/>
              <w:bottom w:val="single" w:sz="8" w:space="0" w:color="auto"/>
              <w:right w:val="nil"/>
            </w:tcBorders>
            <w:shd w:val="clear" w:color="auto" w:fill="auto"/>
            <w:noWrap/>
            <w:vAlign w:val="center"/>
            <w:hideMark/>
          </w:tcPr>
          <w:p w14:paraId="4FF049EF" w14:textId="77777777" w:rsidR="0018258B" w:rsidRPr="00FD540E" w:rsidRDefault="0018258B" w:rsidP="00E244D1">
            <w:pPr>
              <w:spacing w:after="0" w:line="240" w:lineRule="auto"/>
              <w:rPr>
                <w:rFonts w:ascii="Times New Roman" w:eastAsia="Times New Roman" w:hAnsi="Times New Roman" w:cs="Times New Roman"/>
                <w:color w:val="000000"/>
                <w:sz w:val="8"/>
                <w:szCs w:val="8"/>
              </w:rPr>
            </w:pPr>
            <w:r w:rsidRPr="00FD540E">
              <w:rPr>
                <w:rFonts w:ascii="Times New Roman" w:eastAsia="Times New Roman" w:hAnsi="Times New Roman" w:cs="Times New Roman"/>
                <w:color w:val="000000"/>
                <w:sz w:val="8"/>
                <w:szCs w:val="8"/>
              </w:rPr>
              <w:t> </w:t>
            </w:r>
          </w:p>
        </w:tc>
      </w:tr>
      <w:tr w:rsidR="0018258B" w:rsidRPr="001937FE" w14:paraId="60A236A7" w14:textId="77777777" w:rsidTr="0018258B">
        <w:trPr>
          <w:gridAfter w:val="2"/>
          <w:wAfter w:w="706" w:type="dxa"/>
          <w:trHeight w:val="646"/>
        </w:trPr>
        <w:tc>
          <w:tcPr>
            <w:tcW w:w="12974" w:type="dxa"/>
            <w:gridSpan w:val="26"/>
            <w:tcBorders>
              <w:top w:val="single" w:sz="8" w:space="0" w:color="auto"/>
              <w:left w:val="nil"/>
              <w:bottom w:val="nil"/>
              <w:right w:val="nil"/>
            </w:tcBorders>
            <w:shd w:val="clear" w:color="auto" w:fill="auto"/>
            <w:vAlign w:val="center"/>
            <w:hideMark/>
          </w:tcPr>
          <w:p w14:paraId="5789E850" w14:textId="5258B86A" w:rsidR="0018258B" w:rsidRPr="001937FE" w:rsidRDefault="0018258B" w:rsidP="00FD540E">
            <w:pPr>
              <w:spacing w:before="120" w:after="0" w:line="240" w:lineRule="auto"/>
              <w:rPr>
                <w:rFonts w:ascii="Times New Roman" w:eastAsia="Times New Roman" w:hAnsi="Times New Roman" w:cs="Times New Roman"/>
                <w:i/>
                <w:iCs/>
                <w:color w:val="000000"/>
                <w:sz w:val="20"/>
                <w:szCs w:val="20"/>
              </w:rPr>
            </w:pPr>
            <w:proofErr w:type="gramStart"/>
            <w:r w:rsidRPr="001937FE">
              <w:rPr>
                <w:rFonts w:ascii="Times New Roman" w:eastAsia="Times New Roman" w:hAnsi="Times New Roman" w:cs="Times New Roman"/>
                <w:i/>
                <w:iCs/>
                <w:color w:val="000000"/>
                <w:sz w:val="20"/>
                <w:szCs w:val="20"/>
              </w:rPr>
              <w:t>Note</w:t>
            </w:r>
            <w:r w:rsidRPr="001937FE">
              <w:rPr>
                <w:rFonts w:ascii="Times New Roman" w:eastAsia="Times New Roman" w:hAnsi="Times New Roman" w:cs="Times New Roman"/>
                <w:color w:val="000000"/>
                <w:sz w:val="20"/>
                <w:szCs w:val="20"/>
              </w:rPr>
              <w:t xml:space="preserve">: </w:t>
            </w:r>
            <w:r w:rsidR="00FD540E" w:rsidRPr="001937FE">
              <w:rPr>
                <w:rFonts w:ascii="Times New Roman" w:eastAsia="Times New Roman" w:hAnsi="Times New Roman" w:cs="Times New Roman"/>
                <w:color w:val="000000"/>
                <w:sz w:val="20"/>
                <w:szCs w:val="20"/>
              </w:rPr>
              <w:t xml:space="preserve">Results are presented </w:t>
            </w:r>
            <w:r w:rsidR="00FD540E">
              <w:rPr>
                <w:rFonts w:ascii="Times New Roman" w:eastAsia="Times New Roman" w:hAnsi="Times New Roman" w:cs="Times New Roman"/>
                <w:color w:val="000000"/>
                <w:sz w:val="20"/>
                <w:szCs w:val="20"/>
              </w:rPr>
              <w:t>for each</w:t>
            </w:r>
            <w:r w:rsidR="00FD540E" w:rsidRPr="001937FE">
              <w:rPr>
                <w:rFonts w:ascii="Times New Roman" w:eastAsia="Times New Roman" w:hAnsi="Times New Roman" w:cs="Times New Roman"/>
                <w:color w:val="000000"/>
                <w:sz w:val="20"/>
                <w:szCs w:val="20"/>
              </w:rPr>
              <w:t xml:space="preserve"> simulation</w:t>
            </w:r>
            <w:r w:rsidR="00FD540E">
              <w:rPr>
                <w:rFonts w:ascii="Times New Roman" w:eastAsia="Times New Roman" w:hAnsi="Times New Roman" w:cs="Times New Roman"/>
                <w:color w:val="000000"/>
                <w:sz w:val="20"/>
                <w:szCs w:val="20"/>
              </w:rPr>
              <w:t xml:space="preserve"> under the distributional assignment approach:</w:t>
            </w:r>
            <w:r w:rsidR="00FD540E" w:rsidRPr="001937FE">
              <w:rPr>
                <w:rFonts w:ascii="Times New Roman" w:eastAsia="Times New Roman" w:hAnsi="Times New Roman" w:cs="Times New Roman"/>
                <w:color w:val="000000"/>
                <w:sz w:val="20"/>
                <w:szCs w:val="20"/>
              </w:rPr>
              <w:t xml:space="preserve"> </w:t>
            </w:r>
            <w:r w:rsidR="00FD540E">
              <w:rPr>
                <w:rFonts w:ascii="Times New Roman" w:eastAsia="Times New Roman" w:hAnsi="Times New Roman" w:cs="Times New Roman"/>
                <w:color w:val="000000"/>
                <w:sz w:val="20"/>
                <w:szCs w:val="20"/>
              </w:rPr>
              <w:t xml:space="preserve">1) </w:t>
            </w:r>
            <w:r w:rsidR="00FD540E" w:rsidRPr="001937FE">
              <w:rPr>
                <w:rFonts w:ascii="Times New Roman" w:eastAsia="Times New Roman" w:hAnsi="Times New Roman" w:cs="Times New Roman"/>
                <w:color w:val="000000"/>
                <w:sz w:val="20"/>
                <w:szCs w:val="20"/>
              </w:rPr>
              <w:t xml:space="preserve">increasing the share of all individuals with a BA or more (in the FTFY or entire sample) to </w:t>
            </w:r>
            <w:r w:rsidR="00FD540E">
              <w:rPr>
                <w:rFonts w:ascii="Times New Roman" w:eastAsia="Times New Roman" w:hAnsi="Times New Roman" w:cs="Times New Roman"/>
                <w:color w:val="000000"/>
                <w:sz w:val="20"/>
                <w:szCs w:val="20"/>
              </w:rPr>
              <w:t xml:space="preserve">50 percent; 2) increasing the share with a BA or more to 50 percent and the share with an AA to 15 percent; and 3) increasing these shares to </w:t>
            </w:r>
            <w:r w:rsidR="00FD540E" w:rsidRPr="001937FE">
              <w:rPr>
                <w:rFonts w:ascii="Times New Roman" w:eastAsia="Times New Roman" w:hAnsi="Times New Roman" w:cs="Times New Roman"/>
                <w:color w:val="000000"/>
                <w:sz w:val="20"/>
                <w:szCs w:val="20"/>
              </w:rPr>
              <w:t xml:space="preserve">60 percent and </w:t>
            </w:r>
            <w:r w:rsidR="00FD540E">
              <w:rPr>
                <w:rFonts w:ascii="Times New Roman" w:eastAsia="Times New Roman" w:hAnsi="Times New Roman" w:cs="Times New Roman"/>
                <w:color w:val="000000"/>
                <w:sz w:val="20"/>
                <w:szCs w:val="20"/>
              </w:rPr>
              <w:t>20 percent, respectively</w:t>
            </w:r>
            <w:r w:rsidR="00FD540E" w:rsidRPr="001937FE">
              <w:rPr>
                <w:rFonts w:ascii="Times New Roman" w:eastAsia="Times New Roman" w:hAnsi="Times New Roman" w:cs="Times New Roman"/>
                <w:color w:val="000000"/>
                <w:sz w:val="20"/>
                <w:szCs w:val="20"/>
              </w:rPr>
              <w:t>.</w:t>
            </w:r>
            <w:r w:rsidRPr="001937FE">
              <w:rPr>
                <w:rFonts w:ascii="Times New Roman" w:eastAsia="Times New Roman" w:hAnsi="Times New Roman" w:cs="Times New Roman"/>
                <w:color w:val="000000"/>
                <w:sz w:val="16"/>
                <w:szCs w:val="16"/>
              </w:rPr>
              <w:t>  </w:t>
            </w:r>
            <w:proofErr w:type="gramEnd"/>
          </w:p>
        </w:tc>
      </w:tr>
      <w:tr w:rsidR="0018258B" w:rsidRPr="001937FE" w14:paraId="04797A97" w14:textId="77777777" w:rsidTr="0018258B">
        <w:trPr>
          <w:gridAfter w:val="2"/>
          <w:wAfter w:w="706" w:type="dxa"/>
          <w:trHeight w:val="360"/>
        </w:trPr>
        <w:tc>
          <w:tcPr>
            <w:tcW w:w="12974" w:type="dxa"/>
            <w:gridSpan w:val="26"/>
            <w:tcBorders>
              <w:top w:val="nil"/>
              <w:left w:val="nil"/>
              <w:bottom w:val="nil"/>
              <w:right w:val="nil"/>
            </w:tcBorders>
            <w:shd w:val="clear" w:color="auto" w:fill="auto"/>
            <w:vAlign w:val="center"/>
            <w:hideMark/>
          </w:tcPr>
          <w:p w14:paraId="4A178C98" w14:textId="77777777" w:rsidR="0018258B" w:rsidRPr="001937FE" w:rsidRDefault="0018258B" w:rsidP="00E244D1">
            <w:pPr>
              <w:spacing w:after="0" w:line="240" w:lineRule="auto"/>
              <w:rPr>
                <w:rFonts w:ascii="Times New Roman" w:eastAsia="Times New Roman" w:hAnsi="Times New Roman" w:cs="Times New Roman"/>
                <w:i/>
                <w:iCs/>
                <w:color w:val="000000"/>
                <w:sz w:val="20"/>
                <w:szCs w:val="20"/>
              </w:rPr>
            </w:pPr>
            <w:r w:rsidRPr="001937FE">
              <w:rPr>
                <w:rFonts w:ascii="Times New Roman" w:eastAsia="Times New Roman" w:hAnsi="Times New Roman" w:cs="Times New Roman"/>
                <w:i/>
                <w:iCs/>
                <w:color w:val="000000"/>
                <w:sz w:val="20"/>
                <w:szCs w:val="20"/>
              </w:rPr>
              <w:t>Source</w:t>
            </w:r>
            <w:r w:rsidRPr="001937FE">
              <w:rPr>
                <w:rFonts w:ascii="Times New Roman" w:eastAsia="Times New Roman" w:hAnsi="Times New Roman" w:cs="Times New Roman"/>
                <w:color w:val="000000"/>
                <w:sz w:val="20"/>
                <w:szCs w:val="20"/>
              </w:rPr>
              <w:t>: Authors’ calculations of March Current Population Survey 1980 and 2019 (Flood et al., 2019).</w:t>
            </w:r>
          </w:p>
        </w:tc>
      </w:tr>
      <w:tr w:rsidR="0018258B" w:rsidRPr="00693F81" w14:paraId="6CA92A42" w14:textId="77777777" w:rsidTr="0018258B">
        <w:tblPrEx>
          <w:jc w:val="center"/>
        </w:tblPrEx>
        <w:trPr>
          <w:gridAfter w:val="1"/>
          <w:wAfter w:w="51" w:type="dxa"/>
          <w:trHeight w:val="290"/>
          <w:jc w:val="center"/>
        </w:trPr>
        <w:tc>
          <w:tcPr>
            <w:tcW w:w="13629" w:type="dxa"/>
            <w:gridSpan w:val="27"/>
            <w:tcBorders>
              <w:top w:val="nil"/>
              <w:left w:val="nil"/>
              <w:bottom w:val="single" w:sz="4" w:space="0" w:color="auto"/>
              <w:right w:val="nil"/>
            </w:tcBorders>
            <w:shd w:val="clear" w:color="auto" w:fill="auto"/>
            <w:noWrap/>
            <w:vAlign w:val="bottom"/>
            <w:hideMark/>
          </w:tcPr>
          <w:p w14:paraId="43609E64" w14:textId="77777777" w:rsidR="0018258B" w:rsidRPr="00693F81" w:rsidRDefault="0018258B" w:rsidP="00E244D1">
            <w:pPr>
              <w:spacing w:after="120" w:line="240" w:lineRule="auto"/>
              <w:rPr>
                <w:rFonts w:ascii="Times New Roman" w:eastAsia="Times New Roman" w:hAnsi="Times New Roman" w:cs="Times New Roman"/>
                <w:b/>
                <w:bCs/>
                <w:color w:val="000000"/>
                <w:sz w:val="24"/>
                <w:szCs w:val="24"/>
              </w:rPr>
            </w:pPr>
            <w:r w:rsidRPr="00693F81">
              <w:rPr>
                <w:rFonts w:ascii="Times New Roman" w:eastAsia="Times New Roman" w:hAnsi="Times New Roman" w:cs="Times New Roman"/>
                <w:b/>
                <w:bCs/>
                <w:color w:val="000000"/>
                <w:sz w:val="24"/>
                <w:szCs w:val="24"/>
              </w:rPr>
              <w:lastRenderedPageBreak/>
              <w:t xml:space="preserve">Table 4a: Observed and Simulated </w:t>
            </w:r>
            <w:r>
              <w:rPr>
                <w:rFonts w:ascii="Times New Roman" w:eastAsia="Times New Roman" w:hAnsi="Times New Roman" w:cs="Times New Roman"/>
                <w:b/>
                <w:bCs/>
                <w:color w:val="000000"/>
                <w:sz w:val="24"/>
                <w:szCs w:val="24"/>
              </w:rPr>
              <w:t>Percentile E</w:t>
            </w:r>
            <w:r w:rsidRPr="00693F81">
              <w:rPr>
                <w:rFonts w:ascii="Times New Roman" w:eastAsia="Times New Roman" w:hAnsi="Times New Roman" w:cs="Times New Roman"/>
                <w:b/>
                <w:bCs/>
                <w:color w:val="000000"/>
                <w:sz w:val="24"/>
                <w:szCs w:val="24"/>
              </w:rPr>
              <w:t xml:space="preserve">arnings </w:t>
            </w:r>
            <w:r>
              <w:rPr>
                <w:rFonts w:ascii="Times New Roman" w:eastAsia="Times New Roman" w:hAnsi="Times New Roman" w:cs="Times New Roman"/>
                <w:b/>
                <w:bCs/>
                <w:color w:val="000000"/>
                <w:sz w:val="24"/>
                <w:szCs w:val="24"/>
              </w:rPr>
              <w:t>R</w:t>
            </w:r>
            <w:r w:rsidRPr="00693F81">
              <w:rPr>
                <w:rFonts w:ascii="Times New Roman" w:eastAsia="Times New Roman" w:hAnsi="Times New Roman" w:cs="Times New Roman"/>
                <w:b/>
                <w:bCs/>
                <w:color w:val="000000"/>
                <w:sz w:val="24"/>
                <w:szCs w:val="24"/>
              </w:rPr>
              <w:t xml:space="preserve">atios: Full-Time, Full-Year Workers </w:t>
            </w:r>
          </w:p>
        </w:tc>
      </w:tr>
      <w:tr w:rsidR="0018258B" w:rsidRPr="00693F81" w14:paraId="40B84EBC" w14:textId="77777777" w:rsidTr="0018258B">
        <w:tblPrEx>
          <w:jc w:val="center"/>
        </w:tblPrEx>
        <w:trPr>
          <w:trHeight w:val="570"/>
          <w:jc w:val="center"/>
        </w:trPr>
        <w:tc>
          <w:tcPr>
            <w:tcW w:w="4358" w:type="dxa"/>
            <w:gridSpan w:val="3"/>
            <w:tcBorders>
              <w:top w:val="nil"/>
              <w:left w:val="nil"/>
              <w:bottom w:val="single" w:sz="4" w:space="0" w:color="auto"/>
              <w:right w:val="nil"/>
            </w:tcBorders>
            <w:shd w:val="clear" w:color="auto" w:fill="auto"/>
            <w:noWrap/>
            <w:vAlign w:val="bottom"/>
            <w:hideMark/>
          </w:tcPr>
          <w:p w14:paraId="30C70E34" w14:textId="77777777" w:rsidR="0018258B" w:rsidRPr="00A44656" w:rsidRDefault="0018258B" w:rsidP="00E244D1">
            <w:pPr>
              <w:spacing w:after="0" w:line="240" w:lineRule="auto"/>
              <w:rPr>
                <w:rFonts w:ascii="Times New Roman" w:eastAsia="Times New Roman" w:hAnsi="Times New Roman" w:cs="Times New Roman"/>
                <w:b/>
                <w:bCs/>
                <w:color w:val="000000"/>
                <w:sz w:val="24"/>
                <w:szCs w:val="24"/>
              </w:rPr>
            </w:pPr>
            <w:r w:rsidRPr="00A44656">
              <w:rPr>
                <w:rFonts w:ascii="Times New Roman" w:eastAsia="Times New Roman" w:hAnsi="Times New Roman" w:cs="Times New Roman"/>
                <w:b/>
                <w:bCs/>
                <w:color w:val="000000"/>
                <w:sz w:val="24"/>
                <w:szCs w:val="24"/>
              </w:rPr>
              <w:t> </w:t>
            </w:r>
          </w:p>
        </w:tc>
        <w:tc>
          <w:tcPr>
            <w:tcW w:w="1245" w:type="dxa"/>
            <w:gridSpan w:val="3"/>
            <w:tcBorders>
              <w:top w:val="nil"/>
              <w:left w:val="nil"/>
              <w:bottom w:val="single" w:sz="4" w:space="0" w:color="auto"/>
              <w:right w:val="nil"/>
            </w:tcBorders>
            <w:shd w:val="clear" w:color="auto" w:fill="auto"/>
            <w:noWrap/>
            <w:vAlign w:val="bottom"/>
            <w:hideMark/>
          </w:tcPr>
          <w:p w14:paraId="5F78ADD7" w14:textId="77777777" w:rsidR="0018258B" w:rsidRPr="00A44656" w:rsidRDefault="0018258B" w:rsidP="00E244D1">
            <w:pPr>
              <w:spacing w:after="0" w:line="240" w:lineRule="auto"/>
              <w:jc w:val="right"/>
              <w:rPr>
                <w:rFonts w:ascii="Times New Roman" w:eastAsia="Times New Roman" w:hAnsi="Times New Roman" w:cs="Times New Roman"/>
                <w:color w:val="000000"/>
                <w:sz w:val="24"/>
                <w:szCs w:val="24"/>
              </w:rPr>
            </w:pPr>
            <w:r w:rsidRPr="00A44656">
              <w:rPr>
                <w:rFonts w:ascii="Times New Roman" w:eastAsia="Times New Roman" w:hAnsi="Times New Roman" w:cs="Times New Roman"/>
                <w:color w:val="000000"/>
                <w:sz w:val="24"/>
                <w:szCs w:val="24"/>
              </w:rPr>
              <w:t>r50/10</w:t>
            </w:r>
          </w:p>
        </w:tc>
        <w:tc>
          <w:tcPr>
            <w:tcW w:w="1245" w:type="dxa"/>
            <w:gridSpan w:val="4"/>
            <w:tcBorders>
              <w:top w:val="nil"/>
              <w:left w:val="nil"/>
              <w:bottom w:val="single" w:sz="4" w:space="0" w:color="auto"/>
              <w:right w:val="nil"/>
            </w:tcBorders>
            <w:shd w:val="clear" w:color="auto" w:fill="auto"/>
            <w:noWrap/>
            <w:vAlign w:val="bottom"/>
            <w:hideMark/>
          </w:tcPr>
          <w:p w14:paraId="33B1FFDA" w14:textId="77777777" w:rsidR="0018258B" w:rsidRPr="00A44656" w:rsidRDefault="0018258B" w:rsidP="00E244D1">
            <w:pPr>
              <w:spacing w:after="0" w:line="240" w:lineRule="auto"/>
              <w:jc w:val="right"/>
              <w:rPr>
                <w:rFonts w:ascii="Times New Roman" w:eastAsia="Times New Roman" w:hAnsi="Times New Roman" w:cs="Times New Roman"/>
                <w:color w:val="000000"/>
                <w:sz w:val="24"/>
                <w:szCs w:val="24"/>
              </w:rPr>
            </w:pPr>
            <w:r w:rsidRPr="00A44656">
              <w:rPr>
                <w:rFonts w:ascii="Times New Roman" w:eastAsia="Times New Roman" w:hAnsi="Times New Roman" w:cs="Times New Roman"/>
                <w:color w:val="000000"/>
                <w:sz w:val="24"/>
                <w:szCs w:val="24"/>
              </w:rPr>
              <w:t>r90/10</w:t>
            </w:r>
          </w:p>
        </w:tc>
        <w:tc>
          <w:tcPr>
            <w:tcW w:w="1245" w:type="dxa"/>
            <w:gridSpan w:val="3"/>
            <w:tcBorders>
              <w:top w:val="nil"/>
              <w:left w:val="nil"/>
              <w:bottom w:val="single" w:sz="4" w:space="0" w:color="auto"/>
              <w:right w:val="nil"/>
            </w:tcBorders>
            <w:shd w:val="clear" w:color="auto" w:fill="auto"/>
            <w:noWrap/>
            <w:vAlign w:val="bottom"/>
            <w:hideMark/>
          </w:tcPr>
          <w:p w14:paraId="4EB11381" w14:textId="77777777" w:rsidR="0018258B" w:rsidRPr="00A44656" w:rsidRDefault="0018258B" w:rsidP="00E244D1">
            <w:pPr>
              <w:spacing w:after="0" w:line="240" w:lineRule="auto"/>
              <w:jc w:val="right"/>
              <w:rPr>
                <w:rFonts w:ascii="Times New Roman" w:eastAsia="Times New Roman" w:hAnsi="Times New Roman" w:cs="Times New Roman"/>
                <w:color w:val="000000"/>
                <w:sz w:val="24"/>
                <w:szCs w:val="24"/>
              </w:rPr>
            </w:pPr>
            <w:r w:rsidRPr="00A44656">
              <w:rPr>
                <w:rFonts w:ascii="Times New Roman" w:eastAsia="Times New Roman" w:hAnsi="Times New Roman" w:cs="Times New Roman"/>
                <w:color w:val="000000"/>
                <w:sz w:val="24"/>
                <w:szCs w:val="24"/>
              </w:rPr>
              <w:t>r50/25</w:t>
            </w:r>
          </w:p>
        </w:tc>
        <w:tc>
          <w:tcPr>
            <w:tcW w:w="1245" w:type="dxa"/>
            <w:gridSpan w:val="4"/>
            <w:tcBorders>
              <w:top w:val="nil"/>
              <w:left w:val="nil"/>
              <w:bottom w:val="single" w:sz="4" w:space="0" w:color="auto"/>
              <w:right w:val="nil"/>
            </w:tcBorders>
            <w:shd w:val="clear" w:color="auto" w:fill="auto"/>
            <w:noWrap/>
            <w:vAlign w:val="bottom"/>
            <w:hideMark/>
          </w:tcPr>
          <w:p w14:paraId="7A461660" w14:textId="77777777" w:rsidR="0018258B" w:rsidRPr="00A44656" w:rsidRDefault="0018258B" w:rsidP="00E244D1">
            <w:pPr>
              <w:spacing w:after="0" w:line="240" w:lineRule="auto"/>
              <w:jc w:val="right"/>
              <w:rPr>
                <w:rFonts w:ascii="Times New Roman" w:eastAsia="Times New Roman" w:hAnsi="Times New Roman" w:cs="Times New Roman"/>
                <w:color w:val="000000"/>
                <w:sz w:val="24"/>
                <w:szCs w:val="24"/>
              </w:rPr>
            </w:pPr>
            <w:r w:rsidRPr="00A44656">
              <w:rPr>
                <w:rFonts w:ascii="Times New Roman" w:eastAsia="Times New Roman" w:hAnsi="Times New Roman" w:cs="Times New Roman"/>
                <w:color w:val="000000"/>
                <w:sz w:val="24"/>
                <w:szCs w:val="24"/>
              </w:rPr>
              <w:t>r90/25</w:t>
            </w:r>
          </w:p>
        </w:tc>
        <w:tc>
          <w:tcPr>
            <w:tcW w:w="1245" w:type="dxa"/>
            <w:gridSpan w:val="5"/>
            <w:tcBorders>
              <w:top w:val="nil"/>
              <w:left w:val="nil"/>
              <w:bottom w:val="single" w:sz="4" w:space="0" w:color="auto"/>
              <w:right w:val="nil"/>
            </w:tcBorders>
            <w:shd w:val="clear" w:color="auto" w:fill="auto"/>
            <w:noWrap/>
            <w:vAlign w:val="bottom"/>
            <w:hideMark/>
          </w:tcPr>
          <w:p w14:paraId="6DD54AE5" w14:textId="77777777" w:rsidR="0018258B" w:rsidRPr="00A44656" w:rsidRDefault="0018258B" w:rsidP="00E244D1">
            <w:pPr>
              <w:spacing w:after="0" w:line="240" w:lineRule="auto"/>
              <w:jc w:val="right"/>
              <w:rPr>
                <w:rFonts w:ascii="Times New Roman" w:eastAsia="Times New Roman" w:hAnsi="Times New Roman" w:cs="Times New Roman"/>
                <w:color w:val="000000"/>
                <w:sz w:val="24"/>
                <w:szCs w:val="24"/>
              </w:rPr>
            </w:pPr>
            <w:r w:rsidRPr="00A44656">
              <w:rPr>
                <w:rFonts w:ascii="Times New Roman" w:eastAsia="Times New Roman" w:hAnsi="Times New Roman" w:cs="Times New Roman"/>
                <w:color w:val="000000"/>
                <w:sz w:val="24"/>
                <w:szCs w:val="24"/>
              </w:rPr>
              <w:t>r90/50</w:t>
            </w:r>
          </w:p>
        </w:tc>
        <w:tc>
          <w:tcPr>
            <w:tcW w:w="1246" w:type="dxa"/>
            <w:gridSpan w:val="3"/>
            <w:tcBorders>
              <w:top w:val="nil"/>
              <w:left w:val="nil"/>
              <w:bottom w:val="single" w:sz="4" w:space="0" w:color="auto"/>
              <w:right w:val="nil"/>
            </w:tcBorders>
            <w:shd w:val="clear" w:color="auto" w:fill="auto"/>
            <w:noWrap/>
            <w:vAlign w:val="bottom"/>
            <w:hideMark/>
          </w:tcPr>
          <w:p w14:paraId="2AA7344B" w14:textId="77777777" w:rsidR="0018258B" w:rsidRPr="00A44656" w:rsidRDefault="0018258B" w:rsidP="00E244D1">
            <w:pPr>
              <w:spacing w:after="0" w:line="240" w:lineRule="auto"/>
              <w:jc w:val="right"/>
              <w:rPr>
                <w:rFonts w:ascii="Times New Roman" w:eastAsia="Times New Roman" w:hAnsi="Times New Roman" w:cs="Times New Roman"/>
                <w:color w:val="000000"/>
                <w:sz w:val="24"/>
                <w:szCs w:val="24"/>
              </w:rPr>
            </w:pPr>
            <w:r w:rsidRPr="00A44656">
              <w:rPr>
                <w:rFonts w:ascii="Times New Roman" w:eastAsia="Times New Roman" w:hAnsi="Times New Roman" w:cs="Times New Roman"/>
                <w:color w:val="000000"/>
                <w:sz w:val="24"/>
                <w:szCs w:val="24"/>
              </w:rPr>
              <w:t>r99/90</w:t>
            </w:r>
          </w:p>
        </w:tc>
        <w:tc>
          <w:tcPr>
            <w:tcW w:w="1851" w:type="dxa"/>
            <w:gridSpan w:val="3"/>
            <w:tcBorders>
              <w:top w:val="nil"/>
              <w:left w:val="nil"/>
              <w:bottom w:val="single" w:sz="4" w:space="0" w:color="auto"/>
              <w:right w:val="nil"/>
            </w:tcBorders>
            <w:shd w:val="clear" w:color="auto" w:fill="auto"/>
            <w:vAlign w:val="bottom"/>
            <w:hideMark/>
          </w:tcPr>
          <w:p w14:paraId="6B8DF9E2" w14:textId="77777777" w:rsidR="0018258B" w:rsidRPr="00A44656" w:rsidRDefault="0018258B" w:rsidP="00E244D1">
            <w:pPr>
              <w:spacing w:after="0" w:line="240" w:lineRule="auto"/>
              <w:jc w:val="right"/>
              <w:rPr>
                <w:rFonts w:ascii="Times New Roman" w:eastAsia="Times New Roman" w:hAnsi="Times New Roman" w:cs="Times New Roman"/>
                <w:color w:val="000000"/>
                <w:sz w:val="24"/>
                <w:szCs w:val="24"/>
              </w:rPr>
            </w:pPr>
            <w:r w:rsidRPr="00A44656">
              <w:rPr>
                <w:rFonts w:ascii="Times New Roman" w:eastAsia="Times New Roman" w:hAnsi="Times New Roman" w:cs="Times New Roman"/>
                <w:color w:val="000000"/>
                <w:sz w:val="24"/>
                <w:szCs w:val="24"/>
              </w:rPr>
              <w:t>Gini Coefficient</w:t>
            </w:r>
          </w:p>
        </w:tc>
      </w:tr>
      <w:tr w:rsidR="0018258B" w:rsidRPr="00693F81" w14:paraId="5286A359" w14:textId="77777777" w:rsidTr="0018258B">
        <w:tblPrEx>
          <w:jc w:val="center"/>
        </w:tblPrEx>
        <w:trPr>
          <w:trHeight w:val="100"/>
          <w:jc w:val="center"/>
        </w:trPr>
        <w:tc>
          <w:tcPr>
            <w:tcW w:w="4358" w:type="dxa"/>
            <w:gridSpan w:val="3"/>
            <w:tcBorders>
              <w:top w:val="nil"/>
              <w:left w:val="nil"/>
              <w:bottom w:val="nil"/>
              <w:right w:val="nil"/>
            </w:tcBorders>
            <w:shd w:val="clear" w:color="auto" w:fill="auto"/>
            <w:noWrap/>
            <w:vAlign w:val="bottom"/>
            <w:hideMark/>
          </w:tcPr>
          <w:p w14:paraId="79B1510B" w14:textId="77777777" w:rsidR="0018258B" w:rsidRPr="00A44656" w:rsidRDefault="0018258B" w:rsidP="00E244D1">
            <w:pPr>
              <w:spacing w:after="0" w:line="240" w:lineRule="auto"/>
              <w:jc w:val="center"/>
              <w:rPr>
                <w:rFonts w:ascii="Times New Roman" w:eastAsia="Times New Roman" w:hAnsi="Times New Roman" w:cs="Times New Roman"/>
                <w:color w:val="000000"/>
                <w:sz w:val="24"/>
                <w:szCs w:val="24"/>
              </w:rPr>
            </w:pPr>
          </w:p>
        </w:tc>
        <w:tc>
          <w:tcPr>
            <w:tcW w:w="1245" w:type="dxa"/>
            <w:gridSpan w:val="3"/>
            <w:tcBorders>
              <w:top w:val="nil"/>
              <w:left w:val="nil"/>
              <w:bottom w:val="nil"/>
              <w:right w:val="nil"/>
            </w:tcBorders>
            <w:shd w:val="clear" w:color="auto" w:fill="auto"/>
            <w:noWrap/>
            <w:vAlign w:val="bottom"/>
            <w:hideMark/>
          </w:tcPr>
          <w:p w14:paraId="227F0F87" w14:textId="77777777" w:rsidR="0018258B" w:rsidRPr="00A44656" w:rsidRDefault="0018258B" w:rsidP="00E244D1">
            <w:pPr>
              <w:spacing w:after="0" w:line="240" w:lineRule="auto"/>
              <w:jc w:val="center"/>
              <w:rPr>
                <w:rFonts w:ascii="Times New Roman" w:eastAsia="Times New Roman" w:hAnsi="Times New Roman" w:cs="Times New Roman"/>
                <w:sz w:val="24"/>
                <w:szCs w:val="24"/>
              </w:rPr>
            </w:pPr>
          </w:p>
        </w:tc>
        <w:tc>
          <w:tcPr>
            <w:tcW w:w="1245" w:type="dxa"/>
            <w:gridSpan w:val="4"/>
            <w:tcBorders>
              <w:top w:val="nil"/>
              <w:left w:val="nil"/>
              <w:bottom w:val="nil"/>
              <w:right w:val="nil"/>
            </w:tcBorders>
            <w:shd w:val="clear" w:color="auto" w:fill="auto"/>
            <w:noWrap/>
            <w:vAlign w:val="bottom"/>
            <w:hideMark/>
          </w:tcPr>
          <w:p w14:paraId="7F8383AF" w14:textId="77777777" w:rsidR="0018258B" w:rsidRPr="00A44656" w:rsidRDefault="0018258B" w:rsidP="00E244D1">
            <w:pPr>
              <w:spacing w:after="0" w:line="240" w:lineRule="auto"/>
              <w:jc w:val="center"/>
              <w:rPr>
                <w:rFonts w:ascii="Times New Roman" w:eastAsia="Times New Roman" w:hAnsi="Times New Roman" w:cs="Times New Roman"/>
                <w:sz w:val="24"/>
                <w:szCs w:val="24"/>
              </w:rPr>
            </w:pPr>
          </w:p>
        </w:tc>
        <w:tc>
          <w:tcPr>
            <w:tcW w:w="1245" w:type="dxa"/>
            <w:gridSpan w:val="3"/>
            <w:tcBorders>
              <w:top w:val="nil"/>
              <w:left w:val="nil"/>
              <w:bottom w:val="nil"/>
              <w:right w:val="nil"/>
            </w:tcBorders>
            <w:shd w:val="clear" w:color="auto" w:fill="auto"/>
            <w:noWrap/>
            <w:vAlign w:val="bottom"/>
            <w:hideMark/>
          </w:tcPr>
          <w:p w14:paraId="735FC203" w14:textId="77777777" w:rsidR="0018258B" w:rsidRPr="00A44656" w:rsidRDefault="0018258B" w:rsidP="00E244D1">
            <w:pPr>
              <w:spacing w:after="0" w:line="240" w:lineRule="auto"/>
              <w:jc w:val="center"/>
              <w:rPr>
                <w:rFonts w:ascii="Times New Roman" w:eastAsia="Times New Roman" w:hAnsi="Times New Roman" w:cs="Times New Roman"/>
                <w:sz w:val="24"/>
                <w:szCs w:val="24"/>
              </w:rPr>
            </w:pPr>
          </w:p>
        </w:tc>
        <w:tc>
          <w:tcPr>
            <w:tcW w:w="1245" w:type="dxa"/>
            <w:gridSpan w:val="4"/>
            <w:tcBorders>
              <w:top w:val="nil"/>
              <w:left w:val="nil"/>
              <w:bottom w:val="nil"/>
              <w:right w:val="nil"/>
            </w:tcBorders>
            <w:shd w:val="clear" w:color="auto" w:fill="auto"/>
            <w:noWrap/>
            <w:vAlign w:val="bottom"/>
            <w:hideMark/>
          </w:tcPr>
          <w:p w14:paraId="3BA2ED98" w14:textId="77777777" w:rsidR="0018258B" w:rsidRPr="00A44656" w:rsidRDefault="0018258B" w:rsidP="00E244D1">
            <w:pPr>
              <w:spacing w:after="0" w:line="240" w:lineRule="auto"/>
              <w:jc w:val="center"/>
              <w:rPr>
                <w:rFonts w:ascii="Times New Roman" w:eastAsia="Times New Roman" w:hAnsi="Times New Roman" w:cs="Times New Roman"/>
                <w:sz w:val="24"/>
                <w:szCs w:val="24"/>
              </w:rPr>
            </w:pPr>
          </w:p>
        </w:tc>
        <w:tc>
          <w:tcPr>
            <w:tcW w:w="1245" w:type="dxa"/>
            <w:gridSpan w:val="5"/>
            <w:tcBorders>
              <w:top w:val="nil"/>
              <w:left w:val="nil"/>
              <w:bottom w:val="nil"/>
              <w:right w:val="nil"/>
            </w:tcBorders>
            <w:shd w:val="clear" w:color="auto" w:fill="auto"/>
            <w:noWrap/>
            <w:vAlign w:val="bottom"/>
            <w:hideMark/>
          </w:tcPr>
          <w:p w14:paraId="7481A779" w14:textId="77777777" w:rsidR="0018258B" w:rsidRPr="00A44656" w:rsidRDefault="0018258B" w:rsidP="00E244D1">
            <w:pPr>
              <w:spacing w:after="0" w:line="240" w:lineRule="auto"/>
              <w:jc w:val="center"/>
              <w:rPr>
                <w:rFonts w:ascii="Times New Roman" w:eastAsia="Times New Roman" w:hAnsi="Times New Roman" w:cs="Times New Roman"/>
                <w:sz w:val="24"/>
                <w:szCs w:val="24"/>
              </w:rPr>
            </w:pPr>
          </w:p>
        </w:tc>
        <w:tc>
          <w:tcPr>
            <w:tcW w:w="1246" w:type="dxa"/>
            <w:gridSpan w:val="3"/>
            <w:tcBorders>
              <w:top w:val="nil"/>
              <w:left w:val="nil"/>
              <w:bottom w:val="nil"/>
              <w:right w:val="nil"/>
            </w:tcBorders>
            <w:shd w:val="clear" w:color="auto" w:fill="auto"/>
            <w:noWrap/>
            <w:vAlign w:val="bottom"/>
            <w:hideMark/>
          </w:tcPr>
          <w:p w14:paraId="2D02C332" w14:textId="77777777" w:rsidR="0018258B" w:rsidRPr="00A44656" w:rsidRDefault="0018258B" w:rsidP="00E244D1">
            <w:pPr>
              <w:spacing w:after="0" w:line="240" w:lineRule="auto"/>
              <w:jc w:val="center"/>
              <w:rPr>
                <w:rFonts w:ascii="Times New Roman" w:eastAsia="Times New Roman" w:hAnsi="Times New Roman" w:cs="Times New Roman"/>
                <w:sz w:val="24"/>
                <w:szCs w:val="24"/>
              </w:rPr>
            </w:pPr>
          </w:p>
        </w:tc>
        <w:tc>
          <w:tcPr>
            <w:tcW w:w="1851" w:type="dxa"/>
            <w:gridSpan w:val="3"/>
            <w:tcBorders>
              <w:top w:val="nil"/>
              <w:left w:val="nil"/>
              <w:bottom w:val="nil"/>
              <w:right w:val="nil"/>
            </w:tcBorders>
            <w:shd w:val="clear" w:color="auto" w:fill="auto"/>
            <w:noWrap/>
            <w:vAlign w:val="bottom"/>
            <w:hideMark/>
          </w:tcPr>
          <w:p w14:paraId="5E0720EA" w14:textId="77777777" w:rsidR="0018258B" w:rsidRPr="00A44656" w:rsidRDefault="0018258B" w:rsidP="00E244D1">
            <w:pPr>
              <w:spacing w:after="0" w:line="240" w:lineRule="auto"/>
              <w:jc w:val="center"/>
              <w:rPr>
                <w:rFonts w:ascii="Times New Roman" w:eastAsia="Times New Roman" w:hAnsi="Times New Roman" w:cs="Times New Roman"/>
                <w:sz w:val="24"/>
                <w:szCs w:val="24"/>
              </w:rPr>
            </w:pPr>
          </w:p>
        </w:tc>
      </w:tr>
      <w:tr w:rsidR="0018258B" w:rsidRPr="00693F81" w14:paraId="15162818" w14:textId="77777777" w:rsidTr="0018258B">
        <w:tblPrEx>
          <w:jc w:val="center"/>
        </w:tblPrEx>
        <w:trPr>
          <w:trHeight w:val="290"/>
          <w:jc w:val="center"/>
        </w:trPr>
        <w:tc>
          <w:tcPr>
            <w:tcW w:w="4358" w:type="dxa"/>
            <w:gridSpan w:val="3"/>
            <w:tcBorders>
              <w:top w:val="nil"/>
              <w:left w:val="nil"/>
              <w:bottom w:val="nil"/>
              <w:right w:val="nil"/>
            </w:tcBorders>
            <w:shd w:val="clear" w:color="auto" w:fill="auto"/>
            <w:noWrap/>
            <w:vAlign w:val="bottom"/>
            <w:hideMark/>
          </w:tcPr>
          <w:p w14:paraId="12356E38" w14:textId="77777777" w:rsidR="0018258B" w:rsidRPr="00A44656" w:rsidRDefault="0018258B" w:rsidP="00E244D1">
            <w:pPr>
              <w:spacing w:after="0" w:line="240" w:lineRule="auto"/>
              <w:rPr>
                <w:rFonts w:ascii="Times New Roman" w:eastAsia="Times New Roman" w:hAnsi="Times New Roman" w:cs="Times New Roman"/>
                <w:b/>
                <w:color w:val="000000"/>
                <w:sz w:val="24"/>
                <w:szCs w:val="24"/>
              </w:rPr>
            </w:pPr>
            <w:r w:rsidRPr="00A44656">
              <w:rPr>
                <w:rFonts w:ascii="Times New Roman" w:eastAsia="Times New Roman" w:hAnsi="Times New Roman" w:cs="Times New Roman"/>
                <w:b/>
                <w:color w:val="000000"/>
                <w:sz w:val="24"/>
                <w:szCs w:val="24"/>
              </w:rPr>
              <w:t>Panel A: Observed</w:t>
            </w:r>
          </w:p>
        </w:tc>
        <w:tc>
          <w:tcPr>
            <w:tcW w:w="1245" w:type="dxa"/>
            <w:gridSpan w:val="3"/>
            <w:tcBorders>
              <w:top w:val="nil"/>
              <w:left w:val="nil"/>
              <w:bottom w:val="nil"/>
              <w:right w:val="nil"/>
            </w:tcBorders>
            <w:shd w:val="clear" w:color="auto" w:fill="auto"/>
            <w:noWrap/>
            <w:vAlign w:val="bottom"/>
            <w:hideMark/>
          </w:tcPr>
          <w:p w14:paraId="26D20880" w14:textId="77777777" w:rsidR="0018258B" w:rsidRPr="00A44656" w:rsidRDefault="0018258B" w:rsidP="00E244D1">
            <w:pPr>
              <w:spacing w:after="0" w:line="240" w:lineRule="auto"/>
              <w:jc w:val="center"/>
              <w:rPr>
                <w:rFonts w:ascii="Times New Roman" w:eastAsia="Times New Roman" w:hAnsi="Times New Roman" w:cs="Times New Roman"/>
                <w:color w:val="000000"/>
                <w:sz w:val="24"/>
                <w:szCs w:val="24"/>
              </w:rPr>
            </w:pPr>
          </w:p>
        </w:tc>
        <w:tc>
          <w:tcPr>
            <w:tcW w:w="1245" w:type="dxa"/>
            <w:gridSpan w:val="4"/>
            <w:tcBorders>
              <w:top w:val="nil"/>
              <w:left w:val="nil"/>
              <w:bottom w:val="nil"/>
              <w:right w:val="nil"/>
            </w:tcBorders>
            <w:shd w:val="clear" w:color="auto" w:fill="auto"/>
            <w:noWrap/>
            <w:vAlign w:val="bottom"/>
            <w:hideMark/>
          </w:tcPr>
          <w:p w14:paraId="629CEC24" w14:textId="77777777" w:rsidR="0018258B" w:rsidRPr="00A44656" w:rsidRDefault="0018258B" w:rsidP="00E244D1">
            <w:pPr>
              <w:spacing w:after="0" w:line="240" w:lineRule="auto"/>
              <w:jc w:val="center"/>
              <w:rPr>
                <w:rFonts w:ascii="Times New Roman" w:eastAsia="Times New Roman" w:hAnsi="Times New Roman" w:cs="Times New Roman"/>
                <w:sz w:val="24"/>
                <w:szCs w:val="24"/>
              </w:rPr>
            </w:pPr>
          </w:p>
        </w:tc>
        <w:tc>
          <w:tcPr>
            <w:tcW w:w="1245" w:type="dxa"/>
            <w:gridSpan w:val="3"/>
            <w:tcBorders>
              <w:top w:val="nil"/>
              <w:left w:val="nil"/>
              <w:bottom w:val="nil"/>
              <w:right w:val="nil"/>
            </w:tcBorders>
            <w:shd w:val="clear" w:color="auto" w:fill="auto"/>
            <w:vAlign w:val="bottom"/>
            <w:hideMark/>
          </w:tcPr>
          <w:p w14:paraId="391C1285" w14:textId="77777777" w:rsidR="0018258B" w:rsidRPr="00A44656" w:rsidRDefault="0018258B" w:rsidP="00E244D1">
            <w:pPr>
              <w:spacing w:after="0" w:line="240" w:lineRule="auto"/>
              <w:jc w:val="center"/>
              <w:rPr>
                <w:rFonts w:ascii="Times New Roman" w:eastAsia="Times New Roman" w:hAnsi="Times New Roman" w:cs="Times New Roman"/>
                <w:sz w:val="24"/>
                <w:szCs w:val="24"/>
              </w:rPr>
            </w:pPr>
          </w:p>
        </w:tc>
        <w:tc>
          <w:tcPr>
            <w:tcW w:w="1245" w:type="dxa"/>
            <w:gridSpan w:val="4"/>
            <w:tcBorders>
              <w:top w:val="nil"/>
              <w:left w:val="nil"/>
              <w:bottom w:val="nil"/>
              <w:right w:val="nil"/>
            </w:tcBorders>
            <w:shd w:val="clear" w:color="auto" w:fill="auto"/>
            <w:vAlign w:val="bottom"/>
            <w:hideMark/>
          </w:tcPr>
          <w:p w14:paraId="04FF524F" w14:textId="77777777" w:rsidR="0018258B" w:rsidRPr="00A44656" w:rsidRDefault="0018258B" w:rsidP="00E244D1">
            <w:pPr>
              <w:spacing w:after="0" w:line="240" w:lineRule="auto"/>
              <w:jc w:val="center"/>
              <w:rPr>
                <w:rFonts w:ascii="Times New Roman" w:eastAsia="Times New Roman" w:hAnsi="Times New Roman" w:cs="Times New Roman"/>
                <w:sz w:val="24"/>
                <w:szCs w:val="24"/>
              </w:rPr>
            </w:pPr>
          </w:p>
        </w:tc>
        <w:tc>
          <w:tcPr>
            <w:tcW w:w="1245" w:type="dxa"/>
            <w:gridSpan w:val="5"/>
            <w:tcBorders>
              <w:top w:val="nil"/>
              <w:left w:val="nil"/>
              <w:bottom w:val="nil"/>
              <w:right w:val="nil"/>
            </w:tcBorders>
            <w:shd w:val="clear" w:color="auto" w:fill="auto"/>
            <w:vAlign w:val="bottom"/>
            <w:hideMark/>
          </w:tcPr>
          <w:p w14:paraId="520559F2" w14:textId="77777777" w:rsidR="0018258B" w:rsidRPr="00A44656" w:rsidRDefault="0018258B" w:rsidP="00E244D1">
            <w:pPr>
              <w:spacing w:after="0" w:line="240" w:lineRule="auto"/>
              <w:jc w:val="center"/>
              <w:rPr>
                <w:rFonts w:ascii="Times New Roman" w:eastAsia="Times New Roman" w:hAnsi="Times New Roman" w:cs="Times New Roman"/>
                <w:sz w:val="24"/>
                <w:szCs w:val="24"/>
              </w:rPr>
            </w:pPr>
          </w:p>
        </w:tc>
        <w:tc>
          <w:tcPr>
            <w:tcW w:w="1246" w:type="dxa"/>
            <w:gridSpan w:val="3"/>
            <w:tcBorders>
              <w:top w:val="nil"/>
              <w:left w:val="nil"/>
              <w:bottom w:val="nil"/>
              <w:right w:val="nil"/>
            </w:tcBorders>
            <w:shd w:val="clear" w:color="auto" w:fill="auto"/>
            <w:vAlign w:val="bottom"/>
            <w:hideMark/>
          </w:tcPr>
          <w:p w14:paraId="32586A10" w14:textId="77777777" w:rsidR="0018258B" w:rsidRPr="00A44656" w:rsidRDefault="0018258B" w:rsidP="00E244D1">
            <w:pPr>
              <w:spacing w:after="0" w:line="240" w:lineRule="auto"/>
              <w:jc w:val="center"/>
              <w:rPr>
                <w:rFonts w:ascii="Times New Roman" w:eastAsia="Times New Roman" w:hAnsi="Times New Roman" w:cs="Times New Roman"/>
                <w:sz w:val="24"/>
                <w:szCs w:val="24"/>
              </w:rPr>
            </w:pPr>
          </w:p>
        </w:tc>
        <w:tc>
          <w:tcPr>
            <w:tcW w:w="1851" w:type="dxa"/>
            <w:gridSpan w:val="3"/>
            <w:tcBorders>
              <w:top w:val="nil"/>
              <w:left w:val="nil"/>
              <w:bottom w:val="nil"/>
              <w:right w:val="nil"/>
            </w:tcBorders>
            <w:shd w:val="clear" w:color="auto" w:fill="auto"/>
            <w:vAlign w:val="bottom"/>
            <w:hideMark/>
          </w:tcPr>
          <w:p w14:paraId="04E9B6CA" w14:textId="77777777" w:rsidR="0018258B" w:rsidRPr="00A44656" w:rsidRDefault="0018258B" w:rsidP="00E244D1">
            <w:pPr>
              <w:spacing w:after="0" w:line="240" w:lineRule="auto"/>
              <w:jc w:val="center"/>
              <w:rPr>
                <w:rFonts w:ascii="Times New Roman" w:eastAsia="Times New Roman" w:hAnsi="Times New Roman" w:cs="Times New Roman"/>
                <w:sz w:val="24"/>
                <w:szCs w:val="24"/>
              </w:rPr>
            </w:pPr>
          </w:p>
        </w:tc>
      </w:tr>
      <w:tr w:rsidR="0018258B" w:rsidRPr="00693F81" w14:paraId="6B6D9342" w14:textId="77777777" w:rsidTr="0018258B">
        <w:tblPrEx>
          <w:jc w:val="center"/>
        </w:tblPrEx>
        <w:trPr>
          <w:trHeight w:val="290"/>
          <w:jc w:val="center"/>
        </w:trPr>
        <w:tc>
          <w:tcPr>
            <w:tcW w:w="4358" w:type="dxa"/>
            <w:gridSpan w:val="3"/>
            <w:tcBorders>
              <w:top w:val="nil"/>
              <w:left w:val="nil"/>
              <w:bottom w:val="nil"/>
              <w:right w:val="nil"/>
            </w:tcBorders>
            <w:shd w:val="clear" w:color="auto" w:fill="auto"/>
            <w:noWrap/>
            <w:vAlign w:val="bottom"/>
            <w:hideMark/>
          </w:tcPr>
          <w:p w14:paraId="0E0CE9DA" w14:textId="77777777" w:rsidR="0018258B" w:rsidRPr="00A44656" w:rsidRDefault="0018258B" w:rsidP="00E244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44656">
              <w:rPr>
                <w:rFonts w:ascii="Times New Roman" w:eastAsia="Times New Roman" w:hAnsi="Times New Roman" w:cs="Times New Roman"/>
                <w:color w:val="000000"/>
                <w:sz w:val="24"/>
                <w:szCs w:val="24"/>
              </w:rPr>
              <w:t>1979</w:t>
            </w:r>
          </w:p>
        </w:tc>
        <w:tc>
          <w:tcPr>
            <w:tcW w:w="1245" w:type="dxa"/>
            <w:gridSpan w:val="3"/>
            <w:tcBorders>
              <w:top w:val="nil"/>
              <w:left w:val="nil"/>
              <w:bottom w:val="nil"/>
              <w:right w:val="nil"/>
            </w:tcBorders>
            <w:shd w:val="clear" w:color="auto" w:fill="auto"/>
            <w:noWrap/>
            <w:vAlign w:val="bottom"/>
            <w:hideMark/>
          </w:tcPr>
          <w:p w14:paraId="20740E77" w14:textId="77777777" w:rsidR="0018258B" w:rsidRPr="00A44656" w:rsidRDefault="0018258B" w:rsidP="00E244D1">
            <w:pPr>
              <w:spacing w:after="0" w:line="240" w:lineRule="auto"/>
              <w:jc w:val="right"/>
              <w:rPr>
                <w:rFonts w:ascii="Times New Roman" w:eastAsia="Times New Roman" w:hAnsi="Times New Roman" w:cs="Times New Roman"/>
                <w:color w:val="000000"/>
                <w:sz w:val="24"/>
                <w:szCs w:val="24"/>
              </w:rPr>
            </w:pPr>
            <w:r w:rsidRPr="00A44656">
              <w:rPr>
                <w:rFonts w:ascii="Times New Roman" w:eastAsia="Times New Roman" w:hAnsi="Times New Roman" w:cs="Times New Roman"/>
                <w:color w:val="000000"/>
                <w:sz w:val="24"/>
                <w:szCs w:val="24"/>
              </w:rPr>
              <w:t>2.36</w:t>
            </w:r>
          </w:p>
        </w:tc>
        <w:tc>
          <w:tcPr>
            <w:tcW w:w="1245" w:type="dxa"/>
            <w:gridSpan w:val="4"/>
            <w:tcBorders>
              <w:top w:val="nil"/>
              <w:left w:val="nil"/>
              <w:bottom w:val="nil"/>
              <w:right w:val="nil"/>
            </w:tcBorders>
            <w:shd w:val="clear" w:color="auto" w:fill="auto"/>
            <w:noWrap/>
            <w:vAlign w:val="bottom"/>
            <w:hideMark/>
          </w:tcPr>
          <w:p w14:paraId="1F5B9C89" w14:textId="77777777" w:rsidR="0018258B" w:rsidRPr="00A44656" w:rsidRDefault="0018258B" w:rsidP="00E244D1">
            <w:pPr>
              <w:spacing w:after="0" w:line="240" w:lineRule="auto"/>
              <w:jc w:val="right"/>
              <w:rPr>
                <w:rFonts w:ascii="Times New Roman" w:eastAsia="Times New Roman" w:hAnsi="Times New Roman" w:cs="Times New Roman"/>
                <w:color w:val="000000"/>
                <w:sz w:val="24"/>
                <w:szCs w:val="24"/>
              </w:rPr>
            </w:pPr>
            <w:r w:rsidRPr="00A44656">
              <w:rPr>
                <w:rFonts w:ascii="Times New Roman" w:eastAsia="Times New Roman" w:hAnsi="Times New Roman" w:cs="Times New Roman"/>
                <w:color w:val="000000"/>
                <w:sz w:val="24"/>
                <w:szCs w:val="24"/>
              </w:rPr>
              <w:t>4.63</w:t>
            </w:r>
          </w:p>
        </w:tc>
        <w:tc>
          <w:tcPr>
            <w:tcW w:w="1245" w:type="dxa"/>
            <w:gridSpan w:val="3"/>
            <w:tcBorders>
              <w:top w:val="nil"/>
              <w:left w:val="nil"/>
              <w:bottom w:val="nil"/>
              <w:right w:val="nil"/>
            </w:tcBorders>
            <w:shd w:val="clear" w:color="auto" w:fill="auto"/>
            <w:noWrap/>
            <w:vAlign w:val="bottom"/>
            <w:hideMark/>
          </w:tcPr>
          <w:p w14:paraId="1890FB2E" w14:textId="77777777" w:rsidR="0018258B" w:rsidRPr="00A44656" w:rsidRDefault="0018258B" w:rsidP="00E244D1">
            <w:pPr>
              <w:spacing w:after="0" w:line="240" w:lineRule="auto"/>
              <w:jc w:val="right"/>
              <w:rPr>
                <w:rFonts w:ascii="Times New Roman" w:eastAsia="Times New Roman" w:hAnsi="Times New Roman" w:cs="Times New Roman"/>
                <w:color w:val="000000"/>
                <w:sz w:val="24"/>
                <w:szCs w:val="24"/>
              </w:rPr>
            </w:pPr>
            <w:r w:rsidRPr="00A44656">
              <w:rPr>
                <w:rFonts w:ascii="Times New Roman" w:eastAsia="Times New Roman" w:hAnsi="Times New Roman" w:cs="Times New Roman"/>
                <w:color w:val="000000"/>
                <w:sz w:val="24"/>
                <w:szCs w:val="24"/>
              </w:rPr>
              <w:t>1.49</w:t>
            </w:r>
          </w:p>
        </w:tc>
        <w:tc>
          <w:tcPr>
            <w:tcW w:w="1245" w:type="dxa"/>
            <w:gridSpan w:val="4"/>
            <w:tcBorders>
              <w:top w:val="nil"/>
              <w:left w:val="nil"/>
              <w:bottom w:val="nil"/>
              <w:right w:val="nil"/>
            </w:tcBorders>
            <w:shd w:val="clear" w:color="auto" w:fill="auto"/>
            <w:noWrap/>
            <w:vAlign w:val="bottom"/>
            <w:hideMark/>
          </w:tcPr>
          <w:p w14:paraId="0D00CB29" w14:textId="77777777" w:rsidR="0018258B" w:rsidRPr="00A44656" w:rsidRDefault="0018258B" w:rsidP="00E244D1">
            <w:pPr>
              <w:spacing w:after="0" w:line="240" w:lineRule="auto"/>
              <w:jc w:val="right"/>
              <w:rPr>
                <w:rFonts w:ascii="Times New Roman" w:eastAsia="Times New Roman" w:hAnsi="Times New Roman" w:cs="Times New Roman"/>
                <w:color w:val="000000"/>
                <w:sz w:val="24"/>
                <w:szCs w:val="24"/>
              </w:rPr>
            </w:pPr>
            <w:r w:rsidRPr="00A44656">
              <w:rPr>
                <w:rFonts w:ascii="Times New Roman" w:eastAsia="Times New Roman" w:hAnsi="Times New Roman" w:cs="Times New Roman"/>
                <w:color w:val="000000"/>
                <w:sz w:val="24"/>
                <w:szCs w:val="24"/>
              </w:rPr>
              <w:t>2.93</w:t>
            </w:r>
          </w:p>
        </w:tc>
        <w:tc>
          <w:tcPr>
            <w:tcW w:w="1245" w:type="dxa"/>
            <w:gridSpan w:val="5"/>
            <w:tcBorders>
              <w:top w:val="nil"/>
              <w:left w:val="nil"/>
              <w:bottom w:val="nil"/>
              <w:right w:val="nil"/>
            </w:tcBorders>
            <w:shd w:val="clear" w:color="auto" w:fill="auto"/>
            <w:noWrap/>
            <w:vAlign w:val="bottom"/>
            <w:hideMark/>
          </w:tcPr>
          <w:p w14:paraId="727EA741" w14:textId="77777777" w:rsidR="0018258B" w:rsidRPr="00A44656" w:rsidRDefault="0018258B" w:rsidP="00E244D1">
            <w:pPr>
              <w:spacing w:after="0" w:line="240" w:lineRule="auto"/>
              <w:jc w:val="right"/>
              <w:rPr>
                <w:rFonts w:ascii="Times New Roman" w:eastAsia="Times New Roman" w:hAnsi="Times New Roman" w:cs="Times New Roman"/>
                <w:color w:val="000000"/>
                <w:sz w:val="24"/>
                <w:szCs w:val="24"/>
              </w:rPr>
            </w:pPr>
            <w:r w:rsidRPr="00A44656">
              <w:rPr>
                <w:rFonts w:ascii="Times New Roman" w:eastAsia="Times New Roman" w:hAnsi="Times New Roman" w:cs="Times New Roman"/>
                <w:color w:val="000000"/>
                <w:sz w:val="24"/>
                <w:szCs w:val="24"/>
              </w:rPr>
              <w:t>1.96</w:t>
            </w:r>
          </w:p>
        </w:tc>
        <w:tc>
          <w:tcPr>
            <w:tcW w:w="1246" w:type="dxa"/>
            <w:gridSpan w:val="3"/>
            <w:tcBorders>
              <w:top w:val="nil"/>
              <w:left w:val="nil"/>
              <w:bottom w:val="nil"/>
              <w:right w:val="nil"/>
            </w:tcBorders>
            <w:shd w:val="clear" w:color="auto" w:fill="auto"/>
            <w:noWrap/>
            <w:vAlign w:val="bottom"/>
            <w:hideMark/>
          </w:tcPr>
          <w:p w14:paraId="7FE34DC3" w14:textId="78F535C1" w:rsidR="0018258B" w:rsidRPr="00A44656" w:rsidRDefault="00C73099" w:rsidP="00E244D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2.15</w:t>
            </w:r>
          </w:p>
        </w:tc>
        <w:tc>
          <w:tcPr>
            <w:tcW w:w="1851" w:type="dxa"/>
            <w:gridSpan w:val="3"/>
            <w:tcBorders>
              <w:top w:val="nil"/>
              <w:left w:val="nil"/>
              <w:bottom w:val="nil"/>
              <w:right w:val="nil"/>
            </w:tcBorders>
            <w:shd w:val="clear" w:color="auto" w:fill="auto"/>
            <w:noWrap/>
            <w:vAlign w:val="bottom"/>
            <w:hideMark/>
          </w:tcPr>
          <w:p w14:paraId="4E2B3A6F" w14:textId="77777777" w:rsidR="0018258B" w:rsidRPr="00A44656" w:rsidRDefault="0018258B" w:rsidP="00E244D1">
            <w:pPr>
              <w:spacing w:after="0" w:line="240" w:lineRule="auto"/>
              <w:jc w:val="center"/>
              <w:rPr>
                <w:rFonts w:ascii="Times New Roman" w:eastAsia="Times New Roman" w:hAnsi="Times New Roman" w:cs="Times New Roman"/>
                <w:color w:val="000000"/>
                <w:sz w:val="24"/>
                <w:szCs w:val="24"/>
              </w:rPr>
            </w:pPr>
            <w:r w:rsidRPr="00A44656">
              <w:rPr>
                <w:rFonts w:ascii="Times New Roman" w:eastAsia="Times New Roman" w:hAnsi="Times New Roman" w:cs="Times New Roman"/>
                <w:color w:val="000000"/>
                <w:sz w:val="24"/>
                <w:szCs w:val="24"/>
              </w:rPr>
              <w:t>0.3</w:t>
            </w:r>
            <w:r>
              <w:rPr>
                <w:rFonts w:ascii="Times New Roman" w:eastAsia="Times New Roman" w:hAnsi="Times New Roman" w:cs="Times New Roman"/>
                <w:color w:val="000000"/>
                <w:sz w:val="24"/>
                <w:szCs w:val="24"/>
              </w:rPr>
              <w:t>32</w:t>
            </w:r>
          </w:p>
        </w:tc>
      </w:tr>
      <w:tr w:rsidR="0018258B" w:rsidRPr="00693F81" w14:paraId="60D5595B" w14:textId="77777777" w:rsidTr="0018258B">
        <w:tblPrEx>
          <w:jc w:val="center"/>
        </w:tblPrEx>
        <w:trPr>
          <w:trHeight w:val="290"/>
          <w:jc w:val="center"/>
        </w:trPr>
        <w:tc>
          <w:tcPr>
            <w:tcW w:w="4358" w:type="dxa"/>
            <w:gridSpan w:val="3"/>
            <w:tcBorders>
              <w:top w:val="nil"/>
              <w:left w:val="nil"/>
              <w:bottom w:val="nil"/>
              <w:right w:val="nil"/>
            </w:tcBorders>
            <w:shd w:val="clear" w:color="auto" w:fill="auto"/>
            <w:noWrap/>
            <w:vAlign w:val="bottom"/>
            <w:hideMark/>
          </w:tcPr>
          <w:p w14:paraId="65B72A22" w14:textId="77777777" w:rsidR="0018258B" w:rsidRPr="00A44656" w:rsidRDefault="0018258B" w:rsidP="00E244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44656">
              <w:rPr>
                <w:rFonts w:ascii="Times New Roman" w:eastAsia="Times New Roman" w:hAnsi="Times New Roman" w:cs="Times New Roman"/>
                <w:color w:val="000000"/>
                <w:sz w:val="24"/>
                <w:szCs w:val="24"/>
              </w:rPr>
              <w:t>2018</w:t>
            </w:r>
          </w:p>
        </w:tc>
        <w:tc>
          <w:tcPr>
            <w:tcW w:w="1245" w:type="dxa"/>
            <w:gridSpan w:val="3"/>
            <w:tcBorders>
              <w:top w:val="nil"/>
              <w:left w:val="nil"/>
              <w:bottom w:val="nil"/>
              <w:right w:val="nil"/>
            </w:tcBorders>
            <w:shd w:val="clear" w:color="auto" w:fill="auto"/>
            <w:noWrap/>
            <w:vAlign w:val="bottom"/>
            <w:hideMark/>
          </w:tcPr>
          <w:p w14:paraId="3ED84E91" w14:textId="77777777" w:rsidR="0018258B" w:rsidRPr="00A44656" w:rsidRDefault="0018258B" w:rsidP="00E244D1">
            <w:pPr>
              <w:spacing w:after="0" w:line="240" w:lineRule="auto"/>
              <w:jc w:val="right"/>
              <w:rPr>
                <w:rFonts w:ascii="Times New Roman" w:eastAsia="Times New Roman" w:hAnsi="Times New Roman" w:cs="Times New Roman"/>
                <w:color w:val="000000"/>
                <w:sz w:val="24"/>
                <w:szCs w:val="24"/>
              </w:rPr>
            </w:pPr>
            <w:r w:rsidRPr="00A44656">
              <w:rPr>
                <w:rFonts w:ascii="Times New Roman" w:eastAsia="Times New Roman" w:hAnsi="Times New Roman" w:cs="Times New Roman"/>
                <w:color w:val="000000"/>
                <w:sz w:val="24"/>
                <w:szCs w:val="24"/>
              </w:rPr>
              <w:t>2.27</w:t>
            </w:r>
          </w:p>
        </w:tc>
        <w:tc>
          <w:tcPr>
            <w:tcW w:w="1245" w:type="dxa"/>
            <w:gridSpan w:val="4"/>
            <w:tcBorders>
              <w:top w:val="nil"/>
              <w:left w:val="nil"/>
              <w:bottom w:val="nil"/>
              <w:right w:val="nil"/>
            </w:tcBorders>
            <w:shd w:val="clear" w:color="auto" w:fill="auto"/>
            <w:noWrap/>
            <w:vAlign w:val="bottom"/>
            <w:hideMark/>
          </w:tcPr>
          <w:p w14:paraId="0B4ADFF4" w14:textId="77777777" w:rsidR="0018258B" w:rsidRPr="00A44656" w:rsidRDefault="0018258B" w:rsidP="00E244D1">
            <w:pPr>
              <w:spacing w:after="0" w:line="240" w:lineRule="auto"/>
              <w:jc w:val="right"/>
              <w:rPr>
                <w:rFonts w:ascii="Times New Roman" w:eastAsia="Times New Roman" w:hAnsi="Times New Roman" w:cs="Times New Roman"/>
                <w:color w:val="000000"/>
                <w:sz w:val="24"/>
                <w:szCs w:val="24"/>
              </w:rPr>
            </w:pPr>
            <w:r w:rsidRPr="00A44656">
              <w:rPr>
                <w:rFonts w:ascii="Times New Roman" w:eastAsia="Times New Roman" w:hAnsi="Times New Roman" w:cs="Times New Roman"/>
                <w:color w:val="000000"/>
                <w:sz w:val="24"/>
                <w:szCs w:val="24"/>
              </w:rPr>
              <w:t>5.45</w:t>
            </w:r>
          </w:p>
        </w:tc>
        <w:tc>
          <w:tcPr>
            <w:tcW w:w="1245" w:type="dxa"/>
            <w:gridSpan w:val="3"/>
            <w:tcBorders>
              <w:top w:val="nil"/>
              <w:left w:val="nil"/>
              <w:bottom w:val="nil"/>
              <w:right w:val="nil"/>
            </w:tcBorders>
            <w:shd w:val="clear" w:color="auto" w:fill="auto"/>
            <w:noWrap/>
            <w:vAlign w:val="bottom"/>
            <w:hideMark/>
          </w:tcPr>
          <w:p w14:paraId="527E4DDC" w14:textId="77777777" w:rsidR="0018258B" w:rsidRPr="00A44656" w:rsidRDefault="0018258B" w:rsidP="00E244D1">
            <w:pPr>
              <w:spacing w:after="0" w:line="240" w:lineRule="auto"/>
              <w:jc w:val="right"/>
              <w:rPr>
                <w:rFonts w:ascii="Times New Roman" w:eastAsia="Times New Roman" w:hAnsi="Times New Roman" w:cs="Times New Roman"/>
                <w:color w:val="000000"/>
                <w:sz w:val="24"/>
                <w:szCs w:val="24"/>
              </w:rPr>
            </w:pPr>
            <w:r w:rsidRPr="00A44656">
              <w:rPr>
                <w:rFonts w:ascii="Times New Roman" w:eastAsia="Times New Roman" w:hAnsi="Times New Roman" w:cs="Times New Roman"/>
                <w:color w:val="000000"/>
                <w:sz w:val="24"/>
                <w:szCs w:val="24"/>
              </w:rPr>
              <w:t>1.56</w:t>
            </w:r>
          </w:p>
        </w:tc>
        <w:tc>
          <w:tcPr>
            <w:tcW w:w="1245" w:type="dxa"/>
            <w:gridSpan w:val="4"/>
            <w:tcBorders>
              <w:top w:val="nil"/>
              <w:left w:val="nil"/>
              <w:bottom w:val="nil"/>
              <w:right w:val="nil"/>
            </w:tcBorders>
            <w:shd w:val="clear" w:color="auto" w:fill="auto"/>
            <w:noWrap/>
            <w:vAlign w:val="bottom"/>
            <w:hideMark/>
          </w:tcPr>
          <w:p w14:paraId="527DCFEE" w14:textId="77777777" w:rsidR="0018258B" w:rsidRPr="00A44656" w:rsidRDefault="0018258B" w:rsidP="00E244D1">
            <w:pPr>
              <w:spacing w:after="0" w:line="240" w:lineRule="auto"/>
              <w:jc w:val="right"/>
              <w:rPr>
                <w:rFonts w:ascii="Times New Roman" w:eastAsia="Times New Roman" w:hAnsi="Times New Roman" w:cs="Times New Roman"/>
                <w:color w:val="000000"/>
                <w:sz w:val="24"/>
                <w:szCs w:val="24"/>
              </w:rPr>
            </w:pPr>
            <w:r w:rsidRPr="00A44656">
              <w:rPr>
                <w:rFonts w:ascii="Times New Roman" w:eastAsia="Times New Roman" w:hAnsi="Times New Roman" w:cs="Times New Roman"/>
                <w:color w:val="000000"/>
                <w:sz w:val="24"/>
                <w:szCs w:val="24"/>
              </w:rPr>
              <w:t>3.75</w:t>
            </w:r>
          </w:p>
        </w:tc>
        <w:tc>
          <w:tcPr>
            <w:tcW w:w="1245" w:type="dxa"/>
            <w:gridSpan w:val="5"/>
            <w:tcBorders>
              <w:top w:val="nil"/>
              <w:left w:val="nil"/>
              <w:bottom w:val="nil"/>
              <w:right w:val="nil"/>
            </w:tcBorders>
            <w:shd w:val="clear" w:color="auto" w:fill="auto"/>
            <w:noWrap/>
            <w:vAlign w:val="bottom"/>
            <w:hideMark/>
          </w:tcPr>
          <w:p w14:paraId="3F9EC397" w14:textId="77777777" w:rsidR="0018258B" w:rsidRPr="00A44656" w:rsidRDefault="0018258B" w:rsidP="00E244D1">
            <w:pPr>
              <w:spacing w:after="0" w:line="240" w:lineRule="auto"/>
              <w:jc w:val="right"/>
              <w:rPr>
                <w:rFonts w:ascii="Times New Roman" w:eastAsia="Times New Roman" w:hAnsi="Times New Roman" w:cs="Times New Roman"/>
                <w:color w:val="000000"/>
                <w:sz w:val="24"/>
                <w:szCs w:val="24"/>
              </w:rPr>
            </w:pPr>
            <w:r w:rsidRPr="00A44656">
              <w:rPr>
                <w:rFonts w:ascii="Times New Roman" w:eastAsia="Times New Roman" w:hAnsi="Times New Roman" w:cs="Times New Roman"/>
                <w:color w:val="000000"/>
                <w:sz w:val="24"/>
                <w:szCs w:val="24"/>
              </w:rPr>
              <w:t>2.40</w:t>
            </w:r>
          </w:p>
        </w:tc>
        <w:tc>
          <w:tcPr>
            <w:tcW w:w="1246" w:type="dxa"/>
            <w:gridSpan w:val="3"/>
            <w:tcBorders>
              <w:top w:val="nil"/>
              <w:left w:val="nil"/>
              <w:bottom w:val="nil"/>
              <w:right w:val="nil"/>
            </w:tcBorders>
            <w:shd w:val="clear" w:color="auto" w:fill="auto"/>
            <w:noWrap/>
            <w:vAlign w:val="bottom"/>
            <w:hideMark/>
          </w:tcPr>
          <w:p w14:paraId="48C2416F" w14:textId="77777777" w:rsidR="0018258B" w:rsidRPr="00A44656" w:rsidRDefault="0018258B" w:rsidP="00E244D1">
            <w:pPr>
              <w:spacing w:after="0" w:line="240" w:lineRule="auto"/>
              <w:jc w:val="right"/>
              <w:rPr>
                <w:rFonts w:ascii="Times New Roman" w:eastAsia="Times New Roman" w:hAnsi="Times New Roman" w:cs="Times New Roman"/>
                <w:color w:val="000000"/>
                <w:sz w:val="24"/>
                <w:szCs w:val="24"/>
              </w:rPr>
            </w:pPr>
            <w:r w:rsidRPr="00A44656">
              <w:rPr>
                <w:rFonts w:ascii="Times New Roman" w:eastAsia="Times New Roman" w:hAnsi="Times New Roman" w:cs="Times New Roman"/>
                <w:color w:val="000000"/>
                <w:sz w:val="24"/>
                <w:szCs w:val="24"/>
              </w:rPr>
              <w:t>2.67</w:t>
            </w:r>
          </w:p>
        </w:tc>
        <w:tc>
          <w:tcPr>
            <w:tcW w:w="1851" w:type="dxa"/>
            <w:gridSpan w:val="3"/>
            <w:tcBorders>
              <w:top w:val="nil"/>
              <w:left w:val="nil"/>
              <w:bottom w:val="nil"/>
              <w:right w:val="nil"/>
            </w:tcBorders>
            <w:shd w:val="clear" w:color="auto" w:fill="auto"/>
            <w:noWrap/>
            <w:vAlign w:val="bottom"/>
            <w:hideMark/>
          </w:tcPr>
          <w:p w14:paraId="5F552766" w14:textId="77777777" w:rsidR="0018258B" w:rsidRPr="00A44656" w:rsidRDefault="0018258B" w:rsidP="00E244D1">
            <w:pPr>
              <w:spacing w:after="0" w:line="240" w:lineRule="auto"/>
              <w:jc w:val="center"/>
              <w:rPr>
                <w:rFonts w:ascii="Times New Roman" w:eastAsia="Times New Roman" w:hAnsi="Times New Roman" w:cs="Times New Roman"/>
                <w:color w:val="000000"/>
                <w:sz w:val="24"/>
                <w:szCs w:val="24"/>
              </w:rPr>
            </w:pPr>
            <w:r w:rsidRPr="00A44656">
              <w:rPr>
                <w:rFonts w:ascii="Times New Roman" w:eastAsia="Times New Roman" w:hAnsi="Times New Roman" w:cs="Times New Roman"/>
                <w:color w:val="000000"/>
                <w:sz w:val="24"/>
                <w:szCs w:val="24"/>
              </w:rPr>
              <w:t>0.403</w:t>
            </w:r>
          </w:p>
        </w:tc>
      </w:tr>
      <w:tr w:rsidR="0018258B" w:rsidRPr="00693F81" w14:paraId="42A5EA69" w14:textId="77777777" w:rsidTr="0018258B">
        <w:tblPrEx>
          <w:jc w:val="center"/>
        </w:tblPrEx>
        <w:trPr>
          <w:trHeight w:val="140"/>
          <w:jc w:val="center"/>
        </w:trPr>
        <w:tc>
          <w:tcPr>
            <w:tcW w:w="4358" w:type="dxa"/>
            <w:gridSpan w:val="3"/>
            <w:tcBorders>
              <w:top w:val="nil"/>
              <w:left w:val="nil"/>
              <w:bottom w:val="nil"/>
              <w:right w:val="nil"/>
            </w:tcBorders>
            <w:shd w:val="clear" w:color="auto" w:fill="auto"/>
            <w:noWrap/>
            <w:vAlign w:val="bottom"/>
            <w:hideMark/>
          </w:tcPr>
          <w:p w14:paraId="73D1E813" w14:textId="77777777" w:rsidR="0018258B" w:rsidRPr="00A44656" w:rsidRDefault="0018258B" w:rsidP="00E244D1">
            <w:pPr>
              <w:spacing w:after="0" w:line="240" w:lineRule="auto"/>
              <w:jc w:val="right"/>
              <w:rPr>
                <w:rFonts w:ascii="Times New Roman" w:eastAsia="Times New Roman" w:hAnsi="Times New Roman" w:cs="Times New Roman"/>
                <w:color w:val="000000"/>
                <w:sz w:val="24"/>
                <w:szCs w:val="24"/>
              </w:rPr>
            </w:pPr>
          </w:p>
        </w:tc>
        <w:tc>
          <w:tcPr>
            <w:tcW w:w="1245" w:type="dxa"/>
            <w:gridSpan w:val="3"/>
            <w:tcBorders>
              <w:top w:val="nil"/>
              <w:left w:val="nil"/>
              <w:bottom w:val="nil"/>
              <w:right w:val="nil"/>
            </w:tcBorders>
            <w:shd w:val="clear" w:color="auto" w:fill="auto"/>
            <w:noWrap/>
            <w:vAlign w:val="bottom"/>
            <w:hideMark/>
          </w:tcPr>
          <w:p w14:paraId="56C10FF2" w14:textId="77777777" w:rsidR="0018258B" w:rsidRPr="00A44656" w:rsidRDefault="0018258B" w:rsidP="00E244D1">
            <w:pPr>
              <w:spacing w:after="0" w:line="240" w:lineRule="auto"/>
              <w:rPr>
                <w:rFonts w:ascii="Times New Roman" w:eastAsia="Times New Roman" w:hAnsi="Times New Roman" w:cs="Times New Roman"/>
                <w:sz w:val="24"/>
                <w:szCs w:val="24"/>
              </w:rPr>
            </w:pPr>
          </w:p>
        </w:tc>
        <w:tc>
          <w:tcPr>
            <w:tcW w:w="1245" w:type="dxa"/>
            <w:gridSpan w:val="4"/>
            <w:tcBorders>
              <w:top w:val="nil"/>
              <w:left w:val="nil"/>
              <w:bottom w:val="nil"/>
              <w:right w:val="nil"/>
            </w:tcBorders>
            <w:shd w:val="clear" w:color="auto" w:fill="auto"/>
            <w:noWrap/>
            <w:vAlign w:val="bottom"/>
            <w:hideMark/>
          </w:tcPr>
          <w:p w14:paraId="478D983F" w14:textId="77777777" w:rsidR="0018258B" w:rsidRPr="00A44656" w:rsidRDefault="0018258B" w:rsidP="00E244D1">
            <w:pPr>
              <w:spacing w:after="0" w:line="240" w:lineRule="auto"/>
              <w:rPr>
                <w:rFonts w:ascii="Times New Roman" w:eastAsia="Times New Roman" w:hAnsi="Times New Roman" w:cs="Times New Roman"/>
                <w:sz w:val="24"/>
                <w:szCs w:val="24"/>
              </w:rPr>
            </w:pPr>
          </w:p>
        </w:tc>
        <w:tc>
          <w:tcPr>
            <w:tcW w:w="1245" w:type="dxa"/>
            <w:gridSpan w:val="3"/>
            <w:tcBorders>
              <w:top w:val="nil"/>
              <w:left w:val="nil"/>
              <w:bottom w:val="nil"/>
              <w:right w:val="nil"/>
            </w:tcBorders>
            <w:shd w:val="clear" w:color="auto" w:fill="auto"/>
            <w:noWrap/>
            <w:vAlign w:val="bottom"/>
            <w:hideMark/>
          </w:tcPr>
          <w:p w14:paraId="1E1680DB" w14:textId="77777777" w:rsidR="0018258B" w:rsidRPr="00A44656" w:rsidRDefault="0018258B" w:rsidP="00E244D1">
            <w:pPr>
              <w:spacing w:after="0" w:line="240" w:lineRule="auto"/>
              <w:rPr>
                <w:rFonts w:ascii="Times New Roman" w:eastAsia="Times New Roman" w:hAnsi="Times New Roman" w:cs="Times New Roman"/>
                <w:sz w:val="24"/>
                <w:szCs w:val="24"/>
              </w:rPr>
            </w:pPr>
          </w:p>
        </w:tc>
        <w:tc>
          <w:tcPr>
            <w:tcW w:w="1245" w:type="dxa"/>
            <w:gridSpan w:val="4"/>
            <w:tcBorders>
              <w:top w:val="nil"/>
              <w:left w:val="nil"/>
              <w:bottom w:val="nil"/>
              <w:right w:val="nil"/>
            </w:tcBorders>
            <w:shd w:val="clear" w:color="auto" w:fill="auto"/>
            <w:noWrap/>
            <w:vAlign w:val="bottom"/>
            <w:hideMark/>
          </w:tcPr>
          <w:p w14:paraId="605A0E79" w14:textId="77777777" w:rsidR="0018258B" w:rsidRPr="00A44656" w:rsidRDefault="0018258B" w:rsidP="00E244D1">
            <w:pPr>
              <w:spacing w:after="0" w:line="240" w:lineRule="auto"/>
              <w:rPr>
                <w:rFonts w:ascii="Times New Roman" w:eastAsia="Times New Roman" w:hAnsi="Times New Roman" w:cs="Times New Roman"/>
                <w:sz w:val="24"/>
                <w:szCs w:val="24"/>
              </w:rPr>
            </w:pPr>
          </w:p>
        </w:tc>
        <w:tc>
          <w:tcPr>
            <w:tcW w:w="1245" w:type="dxa"/>
            <w:gridSpan w:val="5"/>
            <w:tcBorders>
              <w:top w:val="nil"/>
              <w:left w:val="nil"/>
              <w:bottom w:val="nil"/>
              <w:right w:val="nil"/>
            </w:tcBorders>
            <w:shd w:val="clear" w:color="auto" w:fill="auto"/>
            <w:noWrap/>
            <w:vAlign w:val="bottom"/>
            <w:hideMark/>
          </w:tcPr>
          <w:p w14:paraId="79EA2BA5" w14:textId="77777777" w:rsidR="0018258B" w:rsidRPr="00A44656" w:rsidRDefault="0018258B" w:rsidP="00E244D1">
            <w:pPr>
              <w:spacing w:after="0" w:line="240" w:lineRule="auto"/>
              <w:rPr>
                <w:rFonts w:ascii="Times New Roman" w:eastAsia="Times New Roman" w:hAnsi="Times New Roman" w:cs="Times New Roman"/>
                <w:sz w:val="24"/>
                <w:szCs w:val="24"/>
              </w:rPr>
            </w:pPr>
          </w:p>
        </w:tc>
        <w:tc>
          <w:tcPr>
            <w:tcW w:w="1246" w:type="dxa"/>
            <w:gridSpan w:val="3"/>
            <w:tcBorders>
              <w:top w:val="nil"/>
              <w:left w:val="nil"/>
              <w:bottom w:val="nil"/>
              <w:right w:val="nil"/>
            </w:tcBorders>
            <w:shd w:val="clear" w:color="auto" w:fill="auto"/>
            <w:noWrap/>
            <w:vAlign w:val="bottom"/>
            <w:hideMark/>
          </w:tcPr>
          <w:p w14:paraId="2799442A" w14:textId="77777777" w:rsidR="0018258B" w:rsidRPr="00A44656" w:rsidRDefault="0018258B" w:rsidP="00E244D1">
            <w:pPr>
              <w:spacing w:after="0" w:line="240" w:lineRule="auto"/>
              <w:rPr>
                <w:rFonts w:ascii="Times New Roman" w:eastAsia="Times New Roman" w:hAnsi="Times New Roman" w:cs="Times New Roman"/>
                <w:sz w:val="24"/>
                <w:szCs w:val="24"/>
              </w:rPr>
            </w:pPr>
          </w:p>
        </w:tc>
        <w:tc>
          <w:tcPr>
            <w:tcW w:w="1851" w:type="dxa"/>
            <w:gridSpan w:val="3"/>
            <w:tcBorders>
              <w:top w:val="nil"/>
              <w:left w:val="nil"/>
              <w:bottom w:val="nil"/>
              <w:right w:val="nil"/>
            </w:tcBorders>
            <w:shd w:val="clear" w:color="auto" w:fill="auto"/>
            <w:noWrap/>
            <w:vAlign w:val="bottom"/>
            <w:hideMark/>
          </w:tcPr>
          <w:p w14:paraId="3DD8D666" w14:textId="77777777" w:rsidR="0018258B" w:rsidRPr="00A44656" w:rsidRDefault="0018258B" w:rsidP="00E244D1">
            <w:pPr>
              <w:spacing w:after="0" w:line="240" w:lineRule="auto"/>
              <w:jc w:val="center"/>
              <w:rPr>
                <w:rFonts w:ascii="Times New Roman" w:eastAsia="Times New Roman" w:hAnsi="Times New Roman" w:cs="Times New Roman"/>
                <w:sz w:val="24"/>
                <w:szCs w:val="24"/>
              </w:rPr>
            </w:pPr>
          </w:p>
        </w:tc>
      </w:tr>
      <w:tr w:rsidR="0018258B" w:rsidRPr="00693F81" w14:paraId="60883B9B" w14:textId="77777777" w:rsidTr="0018258B">
        <w:tblPrEx>
          <w:jc w:val="center"/>
        </w:tblPrEx>
        <w:trPr>
          <w:trHeight w:val="576"/>
          <w:jc w:val="center"/>
        </w:trPr>
        <w:tc>
          <w:tcPr>
            <w:tcW w:w="4358" w:type="dxa"/>
            <w:gridSpan w:val="3"/>
            <w:tcBorders>
              <w:top w:val="nil"/>
              <w:left w:val="nil"/>
              <w:bottom w:val="nil"/>
              <w:right w:val="nil"/>
            </w:tcBorders>
            <w:shd w:val="clear" w:color="auto" w:fill="auto"/>
            <w:noWrap/>
            <w:vAlign w:val="bottom"/>
            <w:hideMark/>
          </w:tcPr>
          <w:p w14:paraId="721E9270" w14:textId="77777777" w:rsidR="0018258B" w:rsidRPr="00A44656" w:rsidRDefault="0018258B" w:rsidP="00E244D1">
            <w:pPr>
              <w:spacing w:after="0" w:line="240" w:lineRule="auto"/>
              <w:rPr>
                <w:rFonts w:ascii="Times New Roman" w:eastAsia="Times New Roman" w:hAnsi="Times New Roman" w:cs="Times New Roman"/>
                <w:b/>
                <w:color w:val="000000"/>
                <w:sz w:val="24"/>
                <w:szCs w:val="24"/>
              </w:rPr>
            </w:pPr>
            <w:r w:rsidRPr="00A44656">
              <w:rPr>
                <w:rFonts w:ascii="Times New Roman" w:eastAsia="Times New Roman" w:hAnsi="Times New Roman" w:cs="Times New Roman"/>
                <w:b/>
                <w:color w:val="000000"/>
                <w:sz w:val="24"/>
                <w:szCs w:val="24"/>
              </w:rPr>
              <w:t>Panel B: 2018 Simulations</w:t>
            </w:r>
          </w:p>
        </w:tc>
        <w:tc>
          <w:tcPr>
            <w:tcW w:w="1245" w:type="dxa"/>
            <w:gridSpan w:val="3"/>
            <w:tcBorders>
              <w:top w:val="nil"/>
              <w:left w:val="nil"/>
              <w:bottom w:val="nil"/>
              <w:right w:val="nil"/>
            </w:tcBorders>
            <w:shd w:val="clear" w:color="auto" w:fill="auto"/>
            <w:noWrap/>
            <w:vAlign w:val="bottom"/>
            <w:hideMark/>
          </w:tcPr>
          <w:p w14:paraId="19E4B9CB" w14:textId="77777777" w:rsidR="0018258B" w:rsidRPr="00A44656" w:rsidRDefault="0018258B" w:rsidP="00E244D1">
            <w:pPr>
              <w:spacing w:after="0" w:line="240" w:lineRule="auto"/>
              <w:rPr>
                <w:rFonts w:ascii="Times New Roman" w:eastAsia="Times New Roman" w:hAnsi="Times New Roman" w:cs="Times New Roman"/>
                <w:color w:val="000000"/>
                <w:sz w:val="24"/>
                <w:szCs w:val="24"/>
              </w:rPr>
            </w:pPr>
          </w:p>
        </w:tc>
        <w:tc>
          <w:tcPr>
            <w:tcW w:w="1245" w:type="dxa"/>
            <w:gridSpan w:val="4"/>
            <w:tcBorders>
              <w:top w:val="nil"/>
              <w:left w:val="nil"/>
              <w:bottom w:val="nil"/>
              <w:right w:val="nil"/>
            </w:tcBorders>
            <w:shd w:val="clear" w:color="auto" w:fill="auto"/>
            <w:noWrap/>
            <w:vAlign w:val="bottom"/>
            <w:hideMark/>
          </w:tcPr>
          <w:p w14:paraId="76B851D2" w14:textId="77777777" w:rsidR="0018258B" w:rsidRPr="00A44656" w:rsidRDefault="0018258B" w:rsidP="00E244D1">
            <w:pPr>
              <w:spacing w:after="0" w:line="240" w:lineRule="auto"/>
              <w:rPr>
                <w:rFonts w:ascii="Times New Roman" w:eastAsia="Times New Roman" w:hAnsi="Times New Roman" w:cs="Times New Roman"/>
                <w:sz w:val="24"/>
                <w:szCs w:val="24"/>
              </w:rPr>
            </w:pPr>
          </w:p>
        </w:tc>
        <w:tc>
          <w:tcPr>
            <w:tcW w:w="1245" w:type="dxa"/>
            <w:gridSpan w:val="3"/>
            <w:tcBorders>
              <w:top w:val="nil"/>
              <w:left w:val="nil"/>
              <w:bottom w:val="nil"/>
              <w:right w:val="nil"/>
            </w:tcBorders>
            <w:shd w:val="clear" w:color="auto" w:fill="auto"/>
            <w:noWrap/>
            <w:vAlign w:val="bottom"/>
            <w:hideMark/>
          </w:tcPr>
          <w:p w14:paraId="1827E485" w14:textId="77777777" w:rsidR="0018258B" w:rsidRPr="00A44656" w:rsidRDefault="0018258B" w:rsidP="00E244D1">
            <w:pPr>
              <w:spacing w:after="0" w:line="240" w:lineRule="auto"/>
              <w:rPr>
                <w:rFonts w:ascii="Times New Roman" w:eastAsia="Times New Roman" w:hAnsi="Times New Roman" w:cs="Times New Roman"/>
                <w:sz w:val="24"/>
                <w:szCs w:val="24"/>
              </w:rPr>
            </w:pPr>
          </w:p>
        </w:tc>
        <w:tc>
          <w:tcPr>
            <w:tcW w:w="1245" w:type="dxa"/>
            <w:gridSpan w:val="4"/>
            <w:tcBorders>
              <w:top w:val="nil"/>
              <w:left w:val="nil"/>
              <w:bottom w:val="nil"/>
              <w:right w:val="nil"/>
            </w:tcBorders>
            <w:shd w:val="clear" w:color="auto" w:fill="auto"/>
            <w:noWrap/>
            <w:vAlign w:val="bottom"/>
            <w:hideMark/>
          </w:tcPr>
          <w:p w14:paraId="4D768647" w14:textId="77777777" w:rsidR="0018258B" w:rsidRPr="00A44656" w:rsidRDefault="0018258B" w:rsidP="00E244D1">
            <w:pPr>
              <w:spacing w:after="0" w:line="240" w:lineRule="auto"/>
              <w:rPr>
                <w:rFonts w:ascii="Times New Roman" w:eastAsia="Times New Roman" w:hAnsi="Times New Roman" w:cs="Times New Roman"/>
                <w:sz w:val="24"/>
                <w:szCs w:val="24"/>
              </w:rPr>
            </w:pPr>
          </w:p>
        </w:tc>
        <w:tc>
          <w:tcPr>
            <w:tcW w:w="1245" w:type="dxa"/>
            <w:gridSpan w:val="5"/>
            <w:tcBorders>
              <w:top w:val="nil"/>
              <w:left w:val="nil"/>
              <w:bottom w:val="nil"/>
              <w:right w:val="nil"/>
            </w:tcBorders>
            <w:shd w:val="clear" w:color="auto" w:fill="auto"/>
            <w:noWrap/>
            <w:vAlign w:val="bottom"/>
            <w:hideMark/>
          </w:tcPr>
          <w:p w14:paraId="570A21F7" w14:textId="77777777" w:rsidR="0018258B" w:rsidRPr="00A44656" w:rsidRDefault="0018258B" w:rsidP="00E244D1">
            <w:pPr>
              <w:spacing w:after="0" w:line="240" w:lineRule="auto"/>
              <w:rPr>
                <w:rFonts w:ascii="Times New Roman" w:eastAsia="Times New Roman" w:hAnsi="Times New Roman" w:cs="Times New Roman"/>
                <w:sz w:val="24"/>
                <w:szCs w:val="24"/>
              </w:rPr>
            </w:pPr>
          </w:p>
        </w:tc>
        <w:tc>
          <w:tcPr>
            <w:tcW w:w="1246" w:type="dxa"/>
            <w:gridSpan w:val="3"/>
            <w:tcBorders>
              <w:top w:val="nil"/>
              <w:left w:val="nil"/>
              <w:bottom w:val="nil"/>
              <w:right w:val="nil"/>
            </w:tcBorders>
            <w:shd w:val="clear" w:color="auto" w:fill="auto"/>
            <w:noWrap/>
            <w:vAlign w:val="bottom"/>
            <w:hideMark/>
          </w:tcPr>
          <w:p w14:paraId="3AC5E835" w14:textId="77777777" w:rsidR="0018258B" w:rsidRPr="00A44656" w:rsidRDefault="0018258B" w:rsidP="00E244D1">
            <w:pPr>
              <w:spacing w:after="0" w:line="240" w:lineRule="auto"/>
              <w:rPr>
                <w:rFonts w:ascii="Times New Roman" w:eastAsia="Times New Roman" w:hAnsi="Times New Roman" w:cs="Times New Roman"/>
                <w:sz w:val="24"/>
                <w:szCs w:val="24"/>
              </w:rPr>
            </w:pPr>
          </w:p>
        </w:tc>
        <w:tc>
          <w:tcPr>
            <w:tcW w:w="1851" w:type="dxa"/>
            <w:gridSpan w:val="3"/>
            <w:tcBorders>
              <w:top w:val="nil"/>
              <w:left w:val="nil"/>
              <w:bottom w:val="nil"/>
              <w:right w:val="nil"/>
            </w:tcBorders>
            <w:shd w:val="clear" w:color="auto" w:fill="auto"/>
            <w:noWrap/>
            <w:vAlign w:val="bottom"/>
            <w:hideMark/>
          </w:tcPr>
          <w:p w14:paraId="556A0D2C" w14:textId="77777777" w:rsidR="0018258B" w:rsidRPr="00A44656" w:rsidRDefault="0018258B" w:rsidP="00E244D1">
            <w:pPr>
              <w:spacing w:after="0" w:line="240" w:lineRule="auto"/>
              <w:jc w:val="center"/>
              <w:rPr>
                <w:rFonts w:ascii="Times New Roman" w:eastAsia="Times New Roman" w:hAnsi="Times New Roman" w:cs="Times New Roman"/>
                <w:sz w:val="24"/>
                <w:szCs w:val="24"/>
              </w:rPr>
            </w:pPr>
          </w:p>
        </w:tc>
      </w:tr>
      <w:tr w:rsidR="0018258B" w:rsidRPr="00693F81" w14:paraId="7AAC7031" w14:textId="77777777" w:rsidTr="0018258B">
        <w:tblPrEx>
          <w:jc w:val="center"/>
        </w:tblPrEx>
        <w:trPr>
          <w:trHeight w:val="290"/>
          <w:jc w:val="center"/>
        </w:trPr>
        <w:tc>
          <w:tcPr>
            <w:tcW w:w="4358" w:type="dxa"/>
            <w:gridSpan w:val="3"/>
            <w:tcBorders>
              <w:top w:val="nil"/>
              <w:left w:val="nil"/>
              <w:bottom w:val="nil"/>
              <w:right w:val="nil"/>
            </w:tcBorders>
            <w:shd w:val="clear" w:color="auto" w:fill="auto"/>
            <w:noWrap/>
            <w:vAlign w:val="bottom"/>
            <w:hideMark/>
          </w:tcPr>
          <w:p w14:paraId="6563955A" w14:textId="77777777" w:rsidR="0018258B" w:rsidRPr="00A44656" w:rsidRDefault="0018258B" w:rsidP="00E244D1">
            <w:pPr>
              <w:spacing w:after="0" w:line="240" w:lineRule="auto"/>
              <w:rPr>
                <w:rFonts w:ascii="Times New Roman" w:eastAsia="Times New Roman" w:hAnsi="Times New Roman" w:cs="Times New Roman"/>
                <w:i/>
                <w:color w:val="000000"/>
                <w:sz w:val="24"/>
                <w:szCs w:val="24"/>
              </w:rPr>
            </w:pPr>
            <w:r w:rsidRPr="00A44656">
              <w:rPr>
                <w:rFonts w:ascii="Times New Roman" w:eastAsia="Times New Roman" w:hAnsi="Times New Roman" w:cs="Times New Roman"/>
                <w:i/>
                <w:color w:val="000000"/>
                <w:sz w:val="24"/>
                <w:szCs w:val="24"/>
              </w:rPr>
              <w:t xml:space="preserve">     Distribution Method</w:t>
            </w:r>
          </w:p>
        </w:tc>
        <w:tc>
          <w:tcPr>
            <w:tcW w:w="1245" w:type="dxa"/>
            <w:gridSpan w:val="3"/>
            <w:tcBorders>
              <w:top w:val="nil"/>
              <w:left w:val="nil"/>
              <w:bottom w:val="nil"/>
              <w:right w:val="nil"/>
            </w:tcBorders>
            <w:shd w:val="clear" w:color="auto" w:fill="auto"/>
            <w:noWrap/>
            <w:vAlign w:val="bottom"/>
            <w:hideMark/>
          </w:tcPr>
          <w:p w14:paraId="38659B0D" w14:textId="77777777" w:rsidR="0018258B" w:rsidRPr="002946C7" w:rsidRDefault="0018258B" w:rsidP="00E244D1">
            <w:pPr>
              <w:spacing w:after="0" w:line="240" w:lineRule="auto"/>
              <w:rPr>
                <w:rFonts w:ascii="Times New Roman" w:eastAsia="Times New Roman" w:hAnsi="Times New Roman" w:cs="Times New Roman"/>
                <w:color w:val="000000"/>
                <w:sz w:val="24"/>
                <w:szCs w:val="24"/>
              </w:rPr>
            </w:pPr>
          </w:p>
        </w:tc>
        <w:tc>
          <w:tcPr>
            <w:tcW w:w="1245" w:type="dxa"/>
            <w:gridSpan w:val="4"/>
            <w:tcBorders>
              <w:top w:val="nil"/>
              <w:left w:val="nil"/>
              <w:bottom w:val="nil"/>
              <w:right w:val="nil"/>
            </w:tcBorders>
            <w:shd w:val="clear" w:color="auto" w:fill="auto"/>
            <w:noWrap/>
            <w:vAlign w:val="bottom"/>
            <w:hideMark/>
          </w:tcPr>
          <w:p w14:paraId="2CFA1724" w14:textId="77777777" w:rsidR="0018258B" w:rsidRPr="002946C7" w:rsidRDefault="0018258B" w:rsidP="00E244D1">
            <w:pPr>
              <w:spacing w:after="0" w:line="240" w:lineRule="auto"/>
              <w:rPr>
                <w:rFonts w:ascii="Times New Roman" w:eastAsia="Times New Roman" w:hAnsi="Times New Roman" w:cs="Times New Roman"/>
                <w:sz w:val="24"/>
                <w:szCs w:val="24"/>
              </w:rPr>
            </w:pPr>
          </w:p>
        </w:tc>
        <w:tc>
          <w:tcPr>
            <w:tcW w:w="1245" w:type="dxa"/>
            <w:gridSpan w:val="3"/>
            <w:tcBorders>
              <w:top w:val="nil"/>
              <w:left w:val="nil"/>
              <w:bottom w:val="nil"/>
              <w:right w:val="nil"/>
            </w:tcBorders>
            <w:shd w:val="clear" w:color="auto" w:fill="auto"/>
            <w:noWrap/>
            <w:vAlign w:val="bottom"/>
            <w:hideMark/>
          </w:tcPr>
          <w:p w14:paraId="11569C9E" w14:textId="77777777" w:rsidR="0018258B" w:rsidRPr="002946C7" w:rsidRDefault="0018258B" w:rsidP="00E244D1">
            <w:pPr>
              <w:spacing w:after="0" w:line="240" w:lineRule="auto"/>
              <w:rPr>
                <w:rFonts w:ascii="Times New Roman" w:eastAsia="Times New Roman" w:hAnsi="Times New Roman" w:cs="Times New Roman"/>
                <w:sz w:val="24"/>
                <w:szCs w:val="24"/>
              </w:rPr>
            </w:pPr>
          </w:p>
        </w:tc>
        <w:tc>
          <w:tcPr>
            <w:tcW w:w="1245" w:type="dxa"/>
            <w:gridSpan w:val="4"/>
            <w:tcBorders>
              <w:top w:val="nil"/>
              <w:left w:val="nil"/>
              <w:bottom w:val="nil"/>
              <w:right w:val="nil"/>
            </w:tcBorders>
            <w:shd w:val="clear" w:color="auto" w:fill="auto"/>
            <w:noWrap/>
            <w:vAlign w:val="bottom"/>
            <w:hideMark/>
          </w:tcPr>
          <w:p w14:paraId="42C31963" w14:textId="77777777" w:rsidR="0018258B" w:rsidRPr="002946C7" w:rsidRDefault="0018258B" w:rsidP="00E244D1">
            <w:pPr>
              <w:spacing w:after="0" w:line="240" w:lineRule="auto"/>
              <w:rPr>
                <w:rFonts w:ascii="Times New Roman" w:eastAsia="Times New Roman" w:hAnsi="Times New Roman" w:cs="Times New Roman"/>
                <w:sz w:val="24"/>
                <w:szCs w:val="24"/>
              </w:rPr>
            </w:pPr>
          </w:p>
        </w:tc>
        <w:tc>
          <w:tcPr>
            <w:tcW w:w="1245" w:type="dxa"/>
            <w:gridSpan w:val="5"/>
            <w:tcBorders>
              <w:top w:val="nil"/>
              <w:left w:val="nil"/>
              <w:bottom w:val="nil"/>
              <w:right w:val="nil"/>
            </w:tcBorders>
            <w:shd w:val="clear" w:color="auto" w:fill="auto"/>
            <w:noWrap/>
            <w:vAlign w:val="bottom"/>
            <w:hideMark/>
          </w:tcPr>
          <w:p w14:paraId="51B1C973" w14:textId="77777777" w:rsidR="0018258B" w:rsidRPr="002946C7" w:rsidRDefault="0018258B" w:rsidP="00E244D1">
            <w:pPr>
              <w:spacing w:after="0" w:line="240" w:lineRule="auto"/>
              <w:rPr>
                <w:rFonts w:ascii="Times New Roman" w:eastAsia="Times New Roman" w:hAnsi="Times New Roman" w:cs="Times New Roman"/>
                <w:sz w:val="24"/>
                <w:szCs w:val="24"/>
              </w:rPr>
            </w:pPr>
          </w:p>
        </w:tc>
        <w:tc>
          <w:tcPr>
            <w:tcW w:w="1246" w:type="dxa"/>
            <w:gridSpan w:val="3"/>
            <w:tcBorders>
              <w:top w:val="nil"/>
              <w:left w:val="nil"/>
              <w:bottom w:val="nil"/>
              <w:right w:val="nil"/>
            </w:tcBorders>
            <w:shd w:val="clear" w:color="auto" w:fill="auto"/>
            <w:noWrap/>
            <w:vAlign w:val="bottom"/>
            <w:hideMark/>
          </w:tcPr>
          <w:p w14:paraId="2C8A1C7E" w14:textId="77777777" w:rsidR="0018258B" w:rsidRPr="002946C7" w:rsidRDefault="0018258B" w:rsidP="00E244D1">
            <w:pPr>
              <w:spacing w:after="0" w:line="240" w:lineRule="auto"/>
              <w:rPr>
                <w:rFonts w:ascii="Times New Roman" w:eastAsia="Times New Roman" w:hAnsi="Times New Roman" w:cs="Times New Roman"/>
                <w:sz w:val="24"/>
                <w:szCs w:val="24"/>
              </w:rPr>
            </w:pPr>
          </w:p>
        </w:tc>
        <w:tc>
          <w:tcPr>
            <w:tcW w:w="1851" w:type="dxa"/>
            <w:gridSpan w:val="3"/>
            <w:tcBorders>
              <w:top w:val="nil"/>
              <w:left w:val="nil"/>
              <w:bottom w:val="nil"/>
              <w:right w:val="nil"/>
            </w:tcBorders>
            <w:shd w:val="clear" w:color="auto" w:fill="auto"/>
            <w:noWrap/>
            <w:vAlign w:val="bottom"/>
            <w:hideMark/>
          </w:tcPr>
          <w:p w14:paraId="4973CDD6" w14:textId="77777777" w:rsidR="0018258B" w:rsidRPr="002946C7" w:rsidRDefault="0018258B" w:rsidP="00E244D1">
            <w:pPr>
              <w:spacing w:after="0" w:line="240" w:lineRule="auto"/>
              <w:jc w:val="center"/>
              <w:rPr>
                <w:rFonts w:ascii="Times New Roman" w:eastAsia="Times New Roman" w:hAnsi="Times New Roman" w:cs="Times New Roman"/>
                <w:sz w:val="24"/>
                <w:szCs w:val="24"/>
              </w:rPr>
            </w:pPr>
          </w:p>
        </w:tc>
      </w:tr>
      <w:tr w:rsidR="008433D1" w:rsidRPr="00693F81" w14:paraId="604F641D" w14:textId="77777777" w:rsidTr="00A044FA">
        <w:tblPrEx>
          <w:jc w:val="center"/>
        </w:tblPrEx>
        <w:trPr>
          <w:trHeight w:val="290"/>
          <w:jc w:val="center"/>
        </w:trPr>
        <w:tc>
          <w:tcPr>
            <w:tcW w:w="4358" w:type="dxa"/>
            <w:gridSpan w:val="3"/>
            <w:tcBorders>
              <w:top w:val="nil"/>
              <w:left w:val="nil"/>
              <w:bottom w:val="nil"/>
              <w:right w:val="nil"/>
            </w:tcBorders>
            <w:shd w:val="clear" w:color="auto" w:fill="auto"/>
            <w:noWrap/>
            <w:vAlign w:val="bottom"/>
            <w:hideMark/>
          </w:tcPr>
          <w:p w14:paraId="445905C1" w14:textId="77777777" w:rsidR="008433D1" w:rsidRPr="00A44656" w:rsidRDefault="008433D1" w:rsidP="008433D1">
            <w:pPr>
              <w:spacing w:after="0" w:line="240" w:lineRule="auto"/>
              <w:rPr>
                <w:rFonts w:ascii="Times New Roman" w:eastAsia="Times New Roman" w:hAnsi="Times New Roman" w:cs="Times New Roman"/>
                <w:color w:val="000000"/>
                <w:sz w:val="24"/>
                <w:szCs w:val="24"/>
              </w:rPr>
            </w:pPr>
            <w:r w:rsidRPr="00A446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1) R</w:t>
            </w:r>
            <w:r w:rsidRPr="0066434B">
              <w:rPr>
                <w:rFonts w:ascii="Times New Roman" w:eastAsia="Times New Roman" w:hAnsi="Times New Roman" w:cs="Times New Roman"/>
                <w:color w:val="000000"/>
                <w:sz w:val="24"/>
                <w:szCs w:val="24"/>
              </w:rPr>
              <w:t xml:space="preserve">aise BA </w:t>
            </w:r>
            <w:r>
              <w:rPr>
                <w:rFonts w:ascii="Times New Roman" w:eastAsia="Times New Roman" w:hAnsi="Times New Roman" w:cs="Times New Roman"/>
                <w:color w:val="000000"/>
                <w:sz w:val="24"/>
                <w:szCs w:val="24"/>
              </w:rPr>
              <w:t xml:space="preserve">share </w:t>
            </w:r>
            <w:r w:rsidRPr="0066434B">
              <w:rPr>
                <w:rFonts w:ascii="Times New Roman" w:eastAsia="Times New Roman" w:hAnsi="Times New Roman" w:cs="Times New Roman"/>
                <w:color w:val="000000"/>
                <w:sz w:val="24"/>
                <w:szCs w:val="24"/>
              </w:rPr>
              <w:t>to 50%</w:t>
            </w:r>
          </w:p>
        </w:tc>
        <w:tc>
          <w:tcPr>
            <w:tcW w:w="1245" w:type="dxa"/>
            <w:gridSpan w:val="3"/>
            <w:tcBorders>
              <w:top w:val="nil"/>
              <w:left w:val="nil"/>
              <w:bottom w:val="nil"/>
              <w:right w:val="nil"/>
            </w:tcBorders>
            <w:shd w:val="clear" w:color="auto" w:fill="auto"/>
            <w:noWrap/>
            <w:vAlign w:val="bottom"/>
          </w:tcPr>
          <w:p w14:paraId="263EA3FE" w14:textId="486DD9EC" w:rsidR="008433D1" w:rsidRPr="008433D1" w:rsidRDefault="008433D1" w:rsidP="008433D1">
            <w:pPr>
              <w:spacing w:after="0" w:line="240" w:lineRule="auto"/>
              <w:jc w:val="right"/>
              <w:rPr>
                <w:rFonts w:ascii="Times New Roman" w:eastAsia="Times New Roman" w:hAnsi="Times New Roman" w:cs="Times New Roman"/>
                <w:color w:val="000000"/>
                <w:sz w:val="24"/>
                <w:szCs w:val="24"/>
              </w:rPr>
            </w:pPr>
            <w:r w:rsidRPr="008433D1">
              <w:rPr>
                <w:rFonts w:ascii="Times New Roman" w:hAnsi="Times New Roman" w:cs="Times New Roman"/>
                <w:color w:val="000000"/>
                <w:sz w:val="24"/>
                <w:szCs w:val="24"/>
              </w:rPr>
              <w:t>2.20</w:t>
            </w:r>
          </w:p>
        </w:tc>
        <w:tc>
          <w:tcPr>
            <w:tcW w:w="1245" w:type="dxa"/>
            <w:gridSpan w:val="4"/>
            <w:tcBorders>
              <w:top w:val="nil"/>
              <w:left w:val="nil"/>
              <w:bottom w:val="nil"/>
              <w:right w:val="nil"/>
            </w:tcBorders>
            <w:shd w:val="clear" w:color="auto" w:fill="auto"/>
            <w:noWrap/>
            <w:vAlign w:val="bottom"/>
          </w:tcPr>
          <w:p w14:paraId="4C2609CF" w14:textId="03142BC4" w:rsidR="008433D1" w:rsidRPr="008433D1" w:rsidRDefault="008433D1" w:rsidP="008433D1">
            <w:pPr>
              <w:spacing w:after="0" w:line="240" w:lineRule="auto"/>
              <w:jc w:val="right"/>
              <w:rPr>
                <w:rFonts w:ascii="Times New Roman" w:eastAsia="Times New Roman" w:hAnsi="Times New Roman" w:cs="Times New Roman"/>
                <w:color w:val="000000"/>
                <w:sz w:val="24"/>
                <w:szCs w:val="24"/>
              </w:rPr>
            </w:pPr>
            <w:r w:rsidRPr="008433D1">
              <w:rPr>
                <w:rFonts w:ascii="Times New Roman" w:hAnsi="Times New Roman" w:cs="Times New Roman"/>
                <w:color w:val="000000"/>
                <w:sz w:val="24"/>
                <w:szCs w:val="24"/>
              </w:rPr>
              <w:t>5.25</w:t>
            </w:r>
          </w:p>
        </w:tc>
        <w:tc>
          <w:tcPr>
            <w:tcW w:w="1245" w:type="dxa"/>
            <w:gridSpan w:val="3"/>
            <w:tcBorders>
              <w:top w:val="nil"/>
              <w:left w:val="nil"/>
              <w:bottom w:val="nil"/>
              <w:right w:val="nil"/>
            </w:tcBorders>
            <w:shd w:val="clear" w:color="auto" w:fill="auto"/>
            <w:noWrap/>
            <w:vAlign w:val="bottom"/>
          </w:tcPr>
          <w:p w14:paraId="6A532F6D" w14:textId="1D25E113" w:rsidR="008433D1" w:rsidRPr="008433D1" w:rsidRDefault="008433D1" w:rsidP="008433D1">
            <w:pPr>
              <w:spacing w:after="0" w:line="240" w:lineRule="auto"/>
              <w:jc w:val="right"/>
              <w:rPr>
                <w:rFonts w:ascii="Times New Roman" w:eastAsia="Times New Roman" w:hAnsi="Times New Roman" w:cs="Times New Roman"/>
                <w:color w:val="000000"/>
                <w:sz w:val="24"/>
                <w:szCs w:val="24"/>
              </w:rPr>
            </w:pPr>
            <w:r w:rsidRPr="008433D1">
              <w:rPr>
                <w:rFonts w:ascii="Times New Roman" w:hAnsi="Times New Roman" w:cs="Times New Roman"/>
                <w:color w:val="000000"/>
                <w:sz w:val="24"/>
                <w:szCs w:val="24"/>
              </w:rPr>
              <w:t>1.52</w:t>
            </w:r>
          </w:p>
        </w:tc>
        <w:tc>
          <w:tcPr>
            <w:tcW w:w="1245" w:type="dxa"/>
            <w:gridSpan w:val="4"/>
            <w:tcBorders>
              <w:top w:val="nil"/>
              <w:left w:val="nil"/>
              <w:bottom w:val="nil"/>
              <w:right w:val="nil"/>
            </w:tcBorders>
            <w:shd w:val="clear" w:color="auto" w:fill="auto"/>
            <w:noWrap/>
            <w:vAlign w:val="bottom"/>
          </w:tcPr>
          <w:p w14:paraId="144F51A6" w14:textId="7AF8D6A7" w:rsidR="008433D1" w:rsidRPr="008433D1" w:rsidRDefault="008433D1" w:rsidP="008433D1">
            <w:pPr>
              <w:spacing w:after="0" w:line="240" w:lineRule="auto"/>
              <w:jc w:val="right"/>
              <w:rPr>
                <w:rFonts w:ascii="Times New Roman" w:eastAsia="Times New Roman" w:hAnsi="Times New Roman" w:cs="Times New Roman"/>
                <w:color w:val="000000"/>
                <w:sz w:val="24"/>
                <w:szCs w:val="24"/>
              </w:rPr>
            </w:pPr>
            <w:r w:rsidRPr="008433D1">
              <w:rPr>
                <w:rFonts w:ascii="Times New Roman" w:hAnsi="Times New Roman" w:cs="Times New Roman"/>
                <w:color w:val="000000"/>
                <w:sz w:val="24"/>
                <w:szCs w:val="24"/>
              </w:rPr>
              <w:t>3.62</w:t>
            </w:r>
          </w:p>
        </w:tc>
        <w:tc>
          <w:tcPr>
            <w:tcW w:w="1245" w:type="dxa"/>
            <w:gridSpan w:val="5"/>
            <w:tcBorders>
              <w:top w:val="nil"/>
              <w:left w:val="nil"/>
              <w:bottom w:val="nil"/>
              <w:right w:val="nil"/>
            </w:tcBorders>
            <w:shd w:val="clear" w:color="auto" w:fill="auto"/>
            <w:noWrap/>
            <w:vAlign w:val="bottom"/>
          </w:tcPr>
          <w:p w14:paraId="41FC1A1B" w14:textId="08A5632E" w:rsidR="008433D1" w:rsidRPr="008433D1" w:rsidRDefault="008433D1" w:rsidP="008433D1">
            <w:pPr>
              <w:spacing w:after="0" w:line="240" w:lineRule="auto"/>
              <w:jc w:val="right"/>
              <w:rPr>
                <w:rFonts w:ascii="Times New Roman" w:eastAsia="Times New Roman" w:hAnsi="Times New Roman" w:cs="Times New Roman"/>
                <w:color w:val="000000"/>
                <w:sz w:val="24"/>
                <w:szCs w:val="24"/>
              </w:rPr>
            </w:pPr>
            <w:r w:rsidRPr="008433D1">
              <w:rPr>
                <w:rFonts w:ascii="Times New Roman" w:hAnsi="Times New Roman" w:cs="Times New Roman"/>
                <w:color w:val="000000"/>
                <w:sz w:val="24"/>
                <w:szCs w:val="24"/>
              </w:rPr>
              <w:t>2.39</w:t>
            </w:r>
          </w:p>
        </w:tc>
        <w:tc>
          <w:tcPr>
            <w:tcW w:w="1246" w:type="dxa"/>
            <w:gridSpan w:val="3"/>
            <w:tcBorders>
              <w:top w:val="nil"/>
              <w:left w:val="nil"/>
              <w:bottom w:val="nil"/>
              <w:right w:val="nil"/>
            </w:tcBorders>
            <w:shd w:val="clear" w:color="auto" w:fill="auto"/>
            <w:noWrap/>
            <w:vAlign w:val="bottom"/>
          </w:tcPr>
          <w:p w14:paraId="7F825E9D" w14:textId="1CB67EF6" w:rsidR="008433D1" w:rsidRPr="008433D1" w:rsidRDefault="008433D1" w:rsidP="008433D1">
            <w:pPr>
              <w:spacing w:after="0" w:line="240" w:lineRule="auto"/>
              <w:jc w:val="right"/>
              <w:rPr>
                <w:rFonts w:ascii="Times New Roman" w:eastAsia="Times New Roman" w:hAnsi="Times New Roman" w:cs="Times New Roman"/>
                <w:color w:val="000000"/>
                <w:sz w:val="24"/>
                <w:szCs w:val="24"/>
              </w:rPr>
            </w:pPr>
            <w:r w:rsidRPr="008433D1">
              <w:rPr>
                <w:rFonts w:ascii="Times New Roman" w:hAnsi="Times New Roman" w:cs="Times New Roman"/>
                <w:color w:val="000000"/>
                <w:sz w:val="24"/>
                <w:szCs w:val="24"/>
              </w:rPr>
              <w:t>2.80</w:t>
            </w:r>
          </w:p>
        </w:tc>
        <w:tc>
          <w:tcPr>
            <w:tcW w:w="1851" w:type="dxa"/>
            <w:gridSpan w:val="3"/>
            <w:tcBorders>
              <w:top w:val="nil"/>
              <w:left w:val="nil"/>
              <w:bottom w:val="nil"/>
              <w:right w:val="nil"/>
            </w:tcBorders>
            <w:shd w:val="clear" w:color="auto" w:fill="auto"/>
            <w:noWrap/>
            <w:vAlign w:val="bottom"/>
          </w:tcPr>
          <w:p w14:paraId="4774A0F3" w14:textId="243B9BD6" w:rsidR="008433D1" w:rsidRPr="008433D1" w:rsidRDefault="008433D1" w:rsidP="008433D1">
            <w:pPr>
              <w:spacing w:after="0" w:line="240" w:lineRule="auto"/>
              <w:jc w:val="center"/>
              <w:rPr>
                <w:rFonts w:ascii="Times New Roman" w:eastAsia="Times New Roman" w:hAnsi="Times New Roman" w:cs="Times New Roman"/>
                <w:color w:val="000000"/>
                <w:sz w:val="24"/>
                <w:szCs w:val="24"/>
              </w:rPr>
            </w:pPr>
            <w:r w:rsidRPr="008433D1">
              <w:rPr>
                <w:rFonts w:ascii="Times New Roman" w:hAnsi="Times New Roman" w:cs="Times New Roman"/>
                <w:color w:val="000000"/>
                <w:sz w:val="24"/>
                <w:szCs w:val="24"/>
              </w:rPr>
              <w:t>0.401</w:t>
            </w:r>
          </w:p>
        </w:tc>
      </w:tr>
      <w:tr w:rsidR="008433D1" w:rsidRPr="00693F81" w14:paraId="58647CB7" w14:textId="77777777" w:rsidTr="00A044FA">
        <w:tblPrEx>
          <w:jc w:val="center"/>
        </w:tblPrEx>
        <w:trPr>
          <w:trHeight w:val="290"/>
          <w:jc w:val="center"/>
        </w:trPr>
        <w:tc>
          <w:tcPr>
            <w:tcW w:w="4358" w:type="dxa"/>
            <w:gridSpan w:val="3"/>
            <w:tcBorders>
              <w:top w:val="nil"/>
              <w:left w:val="nil"/>
              <w:bottom w:val="nil"/>
              <w:right w:val="nil"/>
            </w:tcBorders>
            <w:shd w:val="clear" w:color="auto" w:fill="auto"/>
            <w:noWrap/>
            <w:vAlign w:val="bottom"/>
            <w:hideMark/>
          </w:tcPr>
          <w:p w14:paraId="60C0A492" w14:textId="77777777" w:rsidR="008433D1" w:rsidRPr="00A44656" w:rsidRDefault="008433D1" w:rsidP="008433D1">
            <w:pPr>
              <w:spacing w:after="0" w:line="240" w:lineRule="auto"/>
              <w:rPr>
                <w:rFonts w:ascii="Times New Roman" w:eastAsia="Times New Roman" w:hAnsi="Times New Roman" w:cs="Times New Roman"/>
                <w:color w:val="000000"/>
                <w:sz w:val="24"/>
                <w:szCs w:val="24"/>
              </w:rPr>
            </w:pPr>
            <w:r w:rsidRPr="00A446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2) + Raise A</w:t>
            </w:r>
            <w:r w:rsidRPr="0066434B">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share to 15</w:t>
            </w:r>
            <w:r w:rsidRPr="0066434B">
              <w:rPr>
                <w:rFonts w:ascii="Times New Roman" w:eastAsia="Times New Roman" w:hAnsi="Times New Roman" w:cs="Times New Roman"/>
                <w:color w:val="000000"/>
                <w:sz w:val="24"/>
                <w:szCs w:val="24"/>
              </w:rPr>
              <w:t>%</w:t>
            </w:r>
          </w:p>
        </w:tc>
        <w:tc>
          <w:tcPr>
            <w:tcW w:w="1245" w:type="dxa"/>
            <w:gridSpan w:val="3"/>
            <w:tcBorders>
              <w:top w:val="nil"/>
              <w:left w:val="nil"/>
              <w:bottom w:val="nil"/>
              <w:right w:val="nil"/>
            </w:tcBorders>
            <w:shd w:val="clear" w:color="auto" w:fill="auto"/>
            <w:noWrap/>
            <w:vAlign w:val="bottom"/>
          </w:tcPr>
          <w:p w14:paraId="59764E6D" w14:textId="39FA8CB2" w:rsidR="008433D1" w:rsidRPr="008433D1" w:rsidRDefault="008433D1" w:rsidP="008433D1">
            <w:pPr>
              <w:spacing w:after="0" w:line="240" w:lineRule="auto"/>
              <w:jc w:val="right"/>
              <w:rPr>
                <w:rFonts w:ascii="Times New Roman" w:eastAsia="Times New Roman" w:hAnsi="Times New Roman" w:cs="Times New Roman"/>
                <w:color w:val="000000"/>
                <w:sz w:val="24"/>
                <w:szCs w:val="24"/>
              </w:rPr>
            </w:pPr>
            <w:r w:rsidRPr="008433D1">
              <w:rPr>
                <w:rFonts w:ascii="Times New Roman" w:hAnsi="Times New Roman" w:cs="Times New Roman"/>
                <w:color w:val="000000"/>
                <w:sz w:val="24"/>
                <w:szCs w:val="24"/>
              </w:rPr>
              <w:t>2.24</w:t>
            </w:r>
          </w:p>
        </w:tc>
        <w:tc>
          <w:tcPr>
            <w:tcW w:w="1245" w:type="dxa"/>
            <w:gridSpan w:val="4"/>
            <w:tcBorders>
              <w:top w:val="nil"/>
              <w:left w:val="nil"/>
              <w:bottom w:val="nil"/>
              <w:right w:val="nil"/>
            </w:tcBorders>
            <w:shd w:val="clear" w:color="auto" w:fill="auto"/>
            <w:noWrap/>
            <w:vAlign w:val="bottom"/>
          </w:tcPr>
          <w:p w14:paraId="2AABA030" w14:textId="4903A594" w:rsidR="008433D1" w:rsidRPr="008433D1" w:rsidRDefault="008433D1" w:rsidP="008433D1">
            <w:pPr>
              <w:spacing w:after="0" w:line="240" w:lineRule="auto"/>
              <w:jc w:val="right"/>
              <w:rPr>
                <w:rFonts w:ascii="Times New Roman" w:eastAsia="Times New Roman" w:hAnsi="Times New Roman" w:cs="Times New Roman"/>
                <w:color w:val="000000"/>
                <w:sz w:val="24"/>
                <w:szCs w:val="24"/>
              </w:rPr>
            </w:pPr>
            <w:r w:rsidRPr="008433D1">
              <w:rPr>
                <w:rFonts w:ascii="Times New Roman" w:hAnsi="Times New Roman" w:cs="Times New Roman"/>
                <w:color w:val="000000"/>
                <w:sz w:val="24"/>
                <w:szCs w:val="24"/>
              </w:rPr>
              <w:t>5.21</w:t>
            </w:r>
          </w:p>
        </w:tc>
        <w:tc>
          <w:tcPr>
            <w:tcW w:w="1245" w:type="dxa"/>
            <w:gridSpan w:val="3"/>
            <w:tcBorders>
              <w:top w:val="nil"/>
              <w:left w:val="nil"/>
              <w:bottom w:val="nil"/>
              <w:right w:val="nil"/>
            </w:tcBorders>
            <w:shd w:val="clear" w:color="auto" w:fill="auto"/>
            <w:noWrap/>
            <w:vAlign w:val="bottom"/>
          </w:tcPr>
          <w:p w14:paraId="152D1D31" w14:textId="4A9AB836" w:rsidR="008433D1" w:rsidRPr="008433D1" w:rsidRDefault="008433D1" w:rsidP="008433D1">
            <w:pPr>
              <w:spacing w:after="0" w:line="240" w:lineRule="auto"/>
              <w:jc w:val="right"/>
              <w:rPr>
                <w:rFonts w:ascii="Times New Roman" w:eastAsia="Times New Roman" w:hAnsi="Times New Roman" w:cs="Times New Roman"/>
                <w:color w:val="000000"/>
                <w:sz w:val="24"/>
                <w:szCs w:val="24"/>
              </w:rPr>
            </w:pPr>
            <w:r w:rsidRPr="008433D1">
              <w:rPr>
                <w:rFonts w:ascii="Times New Roman" w:hAnsi="Times New Roman" w:cs="Times New Roman"/>
                <w:color w:val="000000"/>
                <w:sz w:val="24"/>
                <w:szCs w:val="24"/>
              </w:rPr>
              <w:t>1.54</w:t>
            </w:r>
          </w:p>
        </w:tc>
        <w:tc>
          <w:tcPr>
            <w:tcW w:w="1245" w:type="dxa"/>
            <w:gridSpan w:val="4"/>
            <w:tcBorders>
              <w:top w:val="nil"/>
              <w:left w:val="nil"/>
              <w:bottom w:val="nil"/>
              <w:right w:val="nil"/>
            </w:tcBorders>
            <w:shd w:val="clear" w:color="auto" w:fill="auto"/>
            <w:noWrap/>
            <w:vAlign w:val="bottom"/>
          </w:tcPr>
          <w:p w14:paraId="7EC5ACC6" w14:textId="240BB115" w:rsidR="008433D1" w:rsidRPr="008433D1" w:rsidRDefault="008433D1" w:rsidP="008433D1">
            <w:pPr>
              <w:spacing w:after="0" w:line="240" w:lineRule="auto"/>
              <w:jc w:val="right"/>
              <w:rPr>
                <w:rFonts w:ascii="Times New Roman" w:eastAsia="Times New Roman" w:hAnsi="Times New Roman" w:cs="Times New Roman"/>
                <w:color w:val="000000"/>
                <w:sz w:val="24"/>
                <w:szCs w:val="24"/>
              </w:rPr>
            </w:pPr>
            <w:r w:rsidRPr="008433D1">
              <w:rPr>
                <w:rFonts w:ascii="Times New Roman" w:hAnsi="Times New Roman" w:cs="Times New Roman"/>
                <w:color w:val="000000"/>
                <w:sz w:val="24"/>
                <w:szCs w:val="24"/>
              </w:rPr>
              <w:t>3.57</w:t>
            </w:r>
          </w:p>
        </w:tc>
        <w:tc>
          <w:tcPr>
            <w:tcW w:w="1245" w:type="dxa"/>
            <w:gridSpan w:val="5"/>
            <w:tcBorders>
              <w:top w:val="nil"/>
              <w:left w:val="nil"/>
              <w:bottom w:val="nil"/>
              <w:right w:val="nil"/>
            </w:tcBorders>
            <w:shd w:val="clear" w:color="auto" w:fill="auto"/>
            <w:noWrap/>
            <w:vAlign w:val="bottom"/>
          </w:tcPr>
          <w:p w14:paraId="00822F2E" w14:textId="497EB8FD" w:rsidR="008433D1" w:rsidRPr="008433D1" w:rsidRDefault="008433D1" w:rsidP="008433D1">
            <w:pPr>
              <w:spacing w:after="0" w:line="240" w:lineRule="auto"/>
              <w:jc w:val="right"/>
              <w:rPr>
                <w:rFonts w:ascii="Times New Roman" w:eastAsia="Times New Roman" w:hAnsi="Times New Roman" w:cs="Times New Roman"/>
                <w:color w:val="000000"/>
                <w:sz w:val="24"/>
                <w:szCs w:val="24"/>
              </w:rPr>
            </w:pPr>
            <w:r w:rsidRPr="008433D1">
              <w:rPr>
                <w:rFonts w:ascii="Times New Roman" w:hAnsi="Times New Roman" w:cs="Times New Roman"/>
                <w:color w:val="000000"/>
                <w:sz w:val="24"/>
                <w:szCs w:val="24"/>
              </w:rPr>
              <w:t>2.32</w:t>
            </w:r>
          </w:p>
        </w:tc>
        <w:tc>
          <w:tcPr>
            <w:tcW w:w="1246" w:type="dxa"/>
            <w:gridSpan w:val="3"/>
            <w:tcBorders>
              <w:top w:val="nil"/>
              <w:left w:val="nil"/>
              <w:bottom w:val="nil"/>
              <w:right w:val="nil"/>
            </w:tcBorders>
            <w:shd w:val="clear" w:color="auto" w:fill="auto"/>
            <w:noWrap/>
            <w:vAlign w:val="bottom"/>
          </w:tcPr>
          <w:p w14:paraId="1D58A5F2" w14:textId="0DC0BEFF" w:rsidR="008433D1" w:rsidRPr="008433D1" w:rsidRDefault="008433D1" w:rsidP="008433D1">
            <w:pPr>
              <w:spacing w:after="0" w:line="240" w:lineRule="auto"/>
              <w:jc w:val="right"/>
              <w:rPr>
                <w:rFonts w:ascii="Times New Roman" w:eastAsia="Times New Roman" w:hAnsi="Times New Roman" w:cs="Times New Roman"/>
                <w:color w:val="000000"/>
                <w:sz w:val="24"/>
                <w:szCs w:val="24"/>
              </w:rPr>
            </w:pPr>
            <w:r w:rsidRPr="008433D1">
              <w:rPr>
                <w:rFonts w:ascii="Times New Roman" w:hAnsi="Times New Roman" w:cs="Times New Roman"/>
                <w:color w:val="000000"/>
                <w:sz w:val="24"/>
                <w:szCs w:val="24"/>
              </w:rPr>
              <w:t>2.80</w:t>
            </w:r>
          </w:p>
        </w:tc>
        <w:tc>
          <w:tcPr>
            <w:tcW w:w="1851" w:type="dxa"/>
            <w:gridSpan w:val="3"/>
            <w:tcBorders>
              <w:top w:val="nil"/>
              <w:left w:val="nil"/>
              <w:bottom w:val="nil"/>
              <w:right w:val="nil"/>
            </w:tcBorders>
            <w:shd w:val="clear" w:color="auto" w:fill="auto"/>
            <w:noWrap/>
            <w:vAlign w:val="bottom"/>
          </w:tcPr>
          <w:p w14:paraId="6CE2EB29" w14:textId="6831BFD3" w:rsidR="008433D1" w:rsidRPr="008433D1" w:rsidRDefault="008433D1" w:rsidP="008433D1">
            <w:pPr>
              <w:spacing w:after="0" w:line="240" w:lineRule="auto"/>
              <w:jc w:val="center"/>
              <w:rPr>
                <w:rFonts w:ascii="Times New Roman" w:eastAsia="Times New Roman" w:hAnsi="Times New Roman" w:cs="Times New Roman"/>
                <w:color w:val="000000"/>
                <w:sz w:val="24"/>
                <w:szCs w:val="24"/>
              </w:rPr>
            </w:pPr>
            <w:r w:rsidRPr="008433D1">
              <w:rPr>
                <w:rFonts w:ascii="Times New Roman" w:hAnsi="Times New Roman" w:cs="Times New Roman"/>
                <w:color w:val="000000"/>
                <w:sz w:val="24"/>
                <w:szCs w:val="24"/>
              </w:rPr>
              <w:t>0.397</w:t>
            </w:r>
          </w:p>
        </w:tc>
      </w:tr>
      <w:tr w:rsidR="008433D1" w:rsidRPr="00693F81" w14:paraId="6EEDD8C0" w14:textId="77777777" w:rsidTr="00A044FA">
        <w:tblPrEx>
          <w:jc w:val="center"/>
        </w:tblPrEx>
        <w:trPr>
          <w:trHeight w:val="290"/>
          <w:jc w:val="center"/>
        </w:trPr>
        <w:tc>
          <w:tcPr>
            <w:tcW w:w="4358" w:type="dxa"/>
            <w:gridSpan w:val="3"/>
            <w:tcBorders>
              <w:top w:val="nil"/>
              <w:left w:val="nil"/>
              <w:bottom w:val="nil"/>
              <w:right w:val="nil"/>
            </w:tcBorders>
            <w:shd w:val="clear" w:color="auto" w:fill="auto"/>
            <w:noWrap/>
            <w:vAlign w:val="bottom"/>
            <w:hideMark/>
          </w:tcPr>
          <w:p w14:paraId="2211619B" w14:textId="77777777" w:rsidR="008433D1" w:rsidRPr="00A44656" w:rsidRDefault="008433D1" w:rsidP="008433D1">
            <w:pPr>
              <w:spacing w:after="0" w:line="240" w:lineRule="auto"/>
              <w:rPr>
                <w:rFonts w:ascii="Times New Roman" w:eastAsia="Times New Roman" w:hAnsi="Times New Roman" w:cs="Times New Roman"/>
                <w:color w:val="000000"/>
                <w:sz w:val="24"/>
                <w:szCs w:val="24"/>
              </w:rPr>
            </w:pPr>
            <w:r w:rsidRPr="00A446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3) 6</w:t>
            </w:r>
            <w:r w:rsidRPr="0066434B">
              <w:rPr>
                <w:rFonts w:ascii="Times New Roman" w:eastAsia="Times New Roman" w:hAnsi="Times New Roman" w:cs="Times New Roman"/>
                <w:color w:val="000000"/>
                <w:sz w:val="24"/>
                <w:szCs w:val="24"/>
              </w:rPr>
              <w:t xml:space="preserve">0% </w:t>
            </w:r>
            <w:r>
              <w:rPr>
                <w:rFonts w:ascii="Times New Roman" w:eastAsia="Times New Roman" w:hAnsi="Times New Roman" w:cs="Times New Roman"/>
                <w:color w:val="000000"/>
                <w:sz w:val="24"/>
                <w:szCs w:val="24"/>
              </w:rPr>
              <w:t>B</w:t>
            </w:r>
            <w:r w:rsidRPr="0066434B">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share</w:t>
            </w:r>
            <w:r w:rsidRPr="0066434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w:t>
            </w:r>
            <w:r w:rsidRPr="0066434B">
              <w:rPr>
                <w:rFonts w:ascii="Times New Roman" w:eastAsia="Times New Roman" w:hAnsi="Times New Roman" w:cs="Times New Roman"/>
                <w:color w:val="000000"/>
                <w:sz w:val="24"/>
                <w:szCs w:val="24"/>
              </w:rPr>
              <w:t xml:space="preserve">0% </w:t>
            </w:r>
            <w:r>
              <w:rPr>
                <w:rFonts w:ascii="Times New Roman" w:eastAsia="Times New Roman" w:hAnsi="Times New Roman" w:cs="Times New Roman"/>
                <w:color w:val="000000"/>
                <w:sz w:val="24"/>
                <w:szCs w:val="24"/>
              </w:rPr>
              <w:t>A</w:t>
            </w:r>
            <w:r w:rsidRPr="0066434B">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share</w:t>
            </w:r>
          </w:p>
        </w:tc>
        <w:tc>
          <w:tcPr>
            <w:tcW w:w="1245" w:type="dxa"/>
            <w:gridSpan w:val="3"/>
            <w:tcBorders>
              <w:top w:val="nil"/>
              <w:left w:val="nil"/>
              <w:bottom w:val="nil"/>
              <w:right w:val="nil"/>
            </w:tcBorders>
            <w:shd w:val="clear" w:color="auto" w:fill="auto"/>
            <w:noWrap/>
            <w:vAlign w:val="bottom"/>
          </w:tcPr>
          <w:p w14:paraId="0FDA4B15" w14:textId="1E967D89" w:rsidR="008433D1" w:rsidRPr="008433D1" w:rsidRDefault="008433D1" w:rsidP="008433D1">
            <w:pPr>
              <w:spacing w:after="0" w:line="240" w:lineRule="auto"/>
              <w:jc w:val="right"/>
              <w:rPr>
                <w:rFonts w:ascii="Times New Roman" w:eastAsia="Times New Roman" w:hAnsi="Times New Roman" w:cs="Times New Roman"/>
                <w:color w:val="000000"/>
                <w:sz w:val="24"/>
                <w:szCs w:val="24"/>
              </w:rPr>
            </w:pPr>
            <w:r w:rsidRPr="008433D1">
              <w:rPr>
                <w:rFonts w:ascii="Times New Roman" w:hAnsi="Times New Roman" w:cs="Times New Roman"/>
                <w:color w:val="000000"/>
                <w:sz w:val="24"/>
                <w:szCs w:val="24"/>
              </w:rPr>
              <w:t>2.27</w:t>
            </w:r>
          </w:p>
        </w:tc>
        <w:tc>
          <w:tcPr>
            <w:tcW w:w="1245" w:type="dxa"/>
            <w:gridSpan w:val="4"/>
            <w:tcBorders>
              <w:top w:val="nil"/>
              <w:left w:val="nil"/>
              <w:bottom w:val="nil"/>
              <w:right w:val="nil"/>
            </w:tcBorders>
            <w:shd w:val="clear" w:color="auto" w:fill="auto"/>
            <w:noWrap/>
            <w:vAlign w:val="bottom"/>
          </w:tcPr>
          <w:p w14:paraId="447F1AF4" w14:textId="45D1DCC4" w:rsidR="008433D1" w:rsidRPr="008433D1" w:rsidRDefault="008433D1" w:rsidP="008433D1">
            <w:pPr>
              <w:spacing w:after="0" w:line="240" w:lineRule="auto"/>
              <w:jc w:val="right"/>
              <w:rPr>
                <w:rFonts w:ascii="Times New Roman" w:eastAsia="Times New Roman" w:hAnsi="Times New Roman" w:cs="Times New Roman"/>
                <w:color w:val="000000"/>
                <w:sz w:val="24"/>
                <w:szCs w:val="24"/>
              </w:rPr>
            </w:pPr>
            <w:r w:rsidRPr="008433D1">
              <w:rPr>
                <w:rFonts w:ascii="Times New Roman" w:hAnsi="Times New Roman" w:cs="Times New Roman"/>
                <w:color w:val="000000"/>
                <w:sz w:val="24"/>
                <w:szCs w:val="24"/>
              </w:rPr>
              <w:t>5.16</w:t>
            </w:r>
          </w:p>
        </w:tc>
        <w:tc>
          <w:tcPr>
            <w:tcW w:w="1245" w:type="dxa"/>
            <w:gridSpan w:val="3"/>
            <w:tcBorders>
              <w:top w:val="nil"/>
              <w:left w:val="nil"/>
              <w:bottom w:val="nil"/>
              <w:right w:val="nil"/>
            </w:tcBorders>
            <w:shd w:val="clear" w:color="auto" w:fill="auto"/>
            <w:noWrap/>
            <w:vAlign w:val="bottom"/>
          </w:tcPr>
          <w:p w14:paraId="5B39D091" w14:textId="23E19F1A" w:rsidR="008433D1" w:rsidRPr="008433D1" w:rsidRDefault="008433D1" w:rsidP="008433D1">
            <w:pPr>
              <w:spacing w:after="0" w:line="240" w:lineRule="auto"/>
              <w:jc w:val="right"/>
              <w:rPr>
                <w:rFonts w:ascii="Times New Roman" w:eastAsia="Times New Roman" w:hAnsi="Times New Roman" w:cs="Times New Roman"/>
                <w:color w:val="000000"/>
                <w:sz w:val="24"/>
                <w:szCs w:val="24"/>
              </w:rPr>
            </w:pPr>
            <w:r w:rsidRPr="008433D1">
              <w:rPr>
                <w:rFonts w:ascii="Times New Roman" w:hAnsi="Times New Roman" w:cs="Times New Roman"/>
                <w:color w:val="000000"/>
                <w:sz w:val="24"/>
                <w:szCs w:val="24"/>
              </w:rPr>
              <w:t>1.53</w:t>
            </w:r>
          </w:p>
        </w:tc>
        <w:tc>
          <w:tcPr>
            <w:tcW w:w="1245" w:type="dxa"/>
            <w:gridSpan w:val="4"/>
            <w:tcBorders>
              <w:top w:val="nil"/>
              <w:left w:val="nil"/>
              <w:bottom w:val="nil"/>
              <w:right w:val="nil"/>
            </w:tcBorders>
            <w:shd w:val="clear" w:color="auto" w:fill="auto"/>
            <w:noWrap/>
            <w:vAlign w:val="bottom"/>
          </w:tcPr>
          <w:p w14:paraId="540320EB" w14:textId="4689BBD2" w:rsidR="008433D1" w:rsidRPr="008433D1" w:rsidRDefault="008433D1" w:rsidP="008433D1">
            <w:pPr>
              <w:spacing w:after="0" w:line="240" w:lineRule="auto"/>
              <w:jc w:val="right"/>
              <w:rPr>
                <w:rFonts w:ascii="Times New Roman" w:eastAsia="Times New Roman" w:hAnsi="Times New Roman" w:cs="Times New Roman"/>
                <w:color w:val="000000"/>
                <w:sz w:val="24"/>
                <w:szCs w:val="24"/>
              </w:rPr>
            </w:pPr>
            <w:r w:rsidRPr="008433D1">
              <w:rPr>
                <w:rFonts w:ascii="Times New Roman" w:hAnsi="Times New Roman" w:cs="Times New Roman"/>
                <w:color w:val="000000"/>
                <w:sz w:val="24"/>
                <w:szCs w:val="24"/>
              </w:rPr>
              <w:t>3.47</w:t>
            </w:r>
          </w:p>
        </w:tc>
        <w:tc>
          <w:tcPr>
            <w:tcW w:w="1245" w:type="dxa"/>
            <w:gridSpan w:val="5"/>
            <w:tcBorders>
              <w:top w:val="nil"/>
              <w:left w:val="nil"/>
              <w:bottom w:val="nil"/>
              <w:right w:val="nil"/>
            </w:tcBorders>
            <w:shd w:val="clear" w:color="auto" w:fill="auto"/>
            <w:noWrap/>
            <w:vAlign w:val="bottom"/>
          </w:tcPr>
          <w:p w14:paraId="1712B3D6" w14:textId="239EAB44" w:rsidR="008433D1" w:rsidRPr="008433D1" w:rsidRDefault="008433D1" w:rsidP="008433D1">
            <w:pPr>
              <w:spacing w:after="0" w:line="240" w:lineRule="auto"/>
              <w:jc w:val="right"/>
              <w:rPr>
                <w:rFonts w:ascii="Times New Roman" w:eastAsia="Times New Roman" w:hAnsi="Times New Roman" w:cs="Times New Roman"/>
                <w:color w:val="000000"/>
                <w:sz w:val="24"/>
                <w:szCs w:val="24"/>
              </w:rPr>
            </w:pPr>
            <w:r w:rsidRPr="008433D1">
              <w:rPr>
                <w:rFonts w:ascii="Times New Roman" w:hAnsi="Times New Roman" w:cs="Times New Roman"/>
                <w:color w:val="000000"/>
                <w:sz w:val="24"/>
                <w:szCs w:val="24"/>
              </w:rPr>
              <w:t>2.27</w:t>
            </w:r>
          </w:p>
        </w:tc>
        <w:tc>
          <w:tcPr>
            <w:tcW w:w="1246" w:type="dxa"/>
            <w:gridSpan w:val="3"/>
            <w:tcBorders>
              <w:top w:val="nil"/>
              <w:left w:val="nil"/>
              <w:bottom w:val="nil"/>
              <w:right w:val="nil"/>
            </w:tcBorders>
            <w:shd w:val="clear" w:color="auto" w:fill="auto"/>
            <w:noWrap/>
            <w:vAlign w:val="bottom"/>
          </w:tcPr>
          <w:p w14:paraId="4389D1C3" w14:textId="0DA4989F" w:rsidR="008433D1" w:rsidRPr="008433D1" w:rsidRDefault="008433D1" w:rsidP="008433D1">
            <w:pPr>
              <w:spacing w:after="0" w:line="240" w:lineRule="auto"/>
              <w:jc w:val="right"/>
              <w:rPr>
                <w:rFonts w:ascii="Times New Roman" w:eastAsia="Times New Roman" w:hAnsi="Times New Roman" w:cs="Times New Roman"/>
                <w:color w:val="000000"/>
                <w:sz w:val="24"/>
                <w:szCs w:val="24"/>
              </w:rPr>
            </w:pPr>
            <w:r w:rsidRPr="008433D1">
              <w:rPr>
                <w:rFonts w:ascii="Times New Roman" w:hAnsi="Times New Roman" w:cs="Times New Roman"/>
                <w:color w:val="000000"/>
                <w:sz w:val="24"/>
                <w:szCs w:val="24"/>
              </w:rPr>
              <w:t>2.77</w:t>
            </w:r>
          </w:p>
        </w:tc>
        <w:tc>
          <w:tcPr>
            <w:tcW w:w="1851" w:type="dxa"/>
            <w:gridSpan w:val="3"/>
            <w:tcBorders>
              <w:top w:val="nil"/>
              <w:left w:val="nil"/>
              <w:bottom w:val="nil"/>
              <w:right w:val="nil"/>
            </w:tcBorders>
            <w:shd w:val="clear" w:color="auto" w:fill="auto"/>
            <w:noWrap/>
            <w:vAlign w:val="bottom"/>
          </w:tcPr>
          <w:p w14:paraId="19410873" w14:textId="06C40E3B" w:rsidR="008433D1" w:rsidRPr="008433D1" w:rsidRDefault="008433D1" w:rsidP="008433D1">
            <w:pPr>
              <w:spacing w:after="0" w:line="240" w:lineRule="auto"/>
              <w:jc w:val="center"/>
              <w:rPr>
                <w:rFonts w:ascii="Times New Roman" w:eastAsia="Times New Roman" w:hAnsi="Times New Roman" w:cs="Times New Roman"/>
                <w:color w:val="000000"/>
                <w:sz w:val="24"/>
                <w:szCs w:val="24"/>
              </w:rPr>
            </w:pPr>
            <w:r w:rsidRPr="008433D1">
              <w:rPr>
                <w:rFonts w:ascii="Times New Roman" w:hAnsi="Times New Roman" w:cs="Times New Roman"/>
                <w:color w:val="000000"/>
                <w:sz w:val="24"/>
                <w:szCs w:val="24"/>
              </w:rPr>
              <w:t>0.387</w:t>
            </w:r>
          </w:p>
        </w:tc>
      </w:tr>
      <w:tr w:rsidR="00812272" w:rsidRPr="00693F81" w14:paraId="3DB6E80E" w14:textId="77777777" w:rsidTr="0018258B">
        <w:tblPrEx>
          <w:jc w:val="center"/>
        </w:tblPrEx>
        <w:trPr>
          <w:trHeight w:val="432"/>
          <w:jc w:val="center"/>
        </w:trPr>
        <w:tc>
          <w:tcPr>
            <w:tcW w:w="4358" w:type="dxa"/>
            <w:gridSpan w:val="3"/>
            <w:tcBorders>
              <w:top w:val="nil"/>
              <w:left w:val="nil"/>
              <w:bottom w:val="nil"/>
              <w:right w:val="nil"/>
            </w:tcBorders>
            <w:shd w:val="clear" w:color="auto" w:fill="auto"/>
            <w:noWrap/>
            <w:vAlign w:val="bottom"/>
            <w:hideMark/>
          </w:tcPr>
          <w:p w14:paraId="35A127B3" w14:textId="77777777" w:rsidR="00812272" w:rsidRPr="00A44656" w:rsidRDefault="00812272" w:rsidP="00812272">
            <w:pPr>
              <w:spacing w:after="0" w:line="240" w:lineRule="auto"/>
              <w:rPr>
                <w:rFonts w:ascii="Times New Roman" w:eastAsia="Times New Roman" w:hAnsi="Times New Roman" w:cs="Times New Roman"/>
                <w:i/>
                <w:color w:val="000000"/>
                <w:sz w:val="24"/>
                <w:szCs w:val="24"/>
              </w:rPr>
            </w:pPr>
            <w:r w:rsidRPr="00A446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A44656">
              <w:rPr>
                <w:rFonts w:ascii="Times New Roman" w:eastAsia="Times New Roman" w:hAnsi="Times New Roman" w:cs="Times New Roman"/>
                <w:i/>
                <w:color w:val="000000"/>
                <w:sz w:val="24"/>
                <w:szCs w:val="24"/>
              </w:rPr>
              <w:t>Causal Parameter Method</w:t>
            </w:r>
          </w:p>
        </w:tc>
        <w:tc>
          <w:tcPr>
            <w:tcW w:w="1245" w:type="dxa"/>
            <w:gridSpan w:val="3"/>
            <w:tcBorders>
              <w:top w:val="nil"/>
              <w:left w:val="nil"/>
              <w:bottom w:val="nil"/>
              <w:right w:val="nil"/>
            </w:tcBorders>
            <w:shd w:val="clear" w:color="auto" w:fill="auto"/>
            <w:noWrap/>
            <w:vAlign w:val="bottom"/>
            <w:hideMark/>
          </w:tcPr>
          <w:p w14:paraId="027CD1E0" w14:textId="77777777" w:rsidR="00812272" w:rsidRPr="00812272" w:rsidRDefault="00812272" w:rsidP="00812272">
            <w:pPr>
              <w:spacing w:after="0" w:line="240" w:lineRule="auto"/>
              <w:rPr>
                <w:rFonts w:ascii="Times New Roman" w:eastAsia="Times New Roman" w:hAnsi="Times New Roman" w:cs="Times New Roman"/>
                <w:color w:val="000000"/>
                <w:sz w:val="24"/>
                <w:szCs w:val="24"/>
              </w:rPr>
            </w:pPr>
          </w:p>
        </w:tc>
        <w:tc>
          <w:tcPr>
            <w:tcW w:w="1245" w:type="dxa"/>
            <w:gridSpan w:val="4"/>
            <w:tcBorders>
              <w:top w:val="nil"/>
              <w:left w:val="nil"/>
              <w:bottom w:val="nil"/>
              <w:right w:val="nil"/>
            </w:tcBorders>
            <w:shd w:val="clear" w:color="auto" w:fill="auto"/>
            <w:noWrap/>
            <w:vAlign w:val="bottom"/>
            <w:hideMark/>
          </w:tcPr>
          <w:p w14:paraId="098C3BAC" w14:textId="77777777" w:rsidR="00812272" w:rsidRPr="00812272" w:rsidRDefault="00812272" w:rsidP="00812272">
            <w:pPr>
              <w:spacing w:after="0" w:line="240" w:lineRule="auto"/>
              <w:rPr>
                <w:rFonts w:ascii="Times New Roman" w:eastAsia="Times New Roman" w:hAnsi="Times New Roman" w:cs="Times New Roman"/>
                <w:sz w:val="24"/>
                <w:szCs w:val="24"/>
              </w:rPr>
            </w:pPr>
          </w:p>
        </w:tc>
        <w:tc>
          <w:tcPr>
            <w:tcW w:w="1245" w:type="dxa"/>
            <w:gridSpan w:val="3"/>
            <w:tcBorders>
              <w:top w:val="nil"/>
              <w:left w:val="nil"/>
              <w:bottom w:val="nil"/>
              <w:right w:val="nil"/>
            </w:tcBorders>
            <w:shd w:val="clear" w:color="auto" w:fill="auto"/>
            <w:noWrap/>
            <w:vAlign w:val="bottom"/>
            <w:hideMark/>
          </w:tcPr>
          <w:p w14:paraId="63D9D8ED" w14:textId="77777777" w:rsidR="00812272" w:rsidRPr="00812272" w:rsidRDefault="00812272" w:rsidP="00812272">
            <w:pPr>
              <w:spacing w:after="0" w:line="240" w:lineRule="auto"/>
              <w:rPr>
                <w:rFonts w:ascii="Times New Roman" w:eastAsia="Times New Roman" w:hAnsi="Times New Roman" w:cs="Times New Roman"/>
                <w:sz w:val="24"/>
                <w:szCs w:val="24"/>
              </w:rPr>
            </w:pPr>
          </w:p>
        </w:tc>
        <w:tc>
          <w:tcPr>
            <w:tcW w:w="1245" w:type="dxa"/>
            <w:gridSpan w:val="4"/>
            <w:tcBorders>
              <w:top w:val="nil"/>
              <w:left w:val="nil"/>
              <w:bottom w:val="nil"/>
              <w:right w:val="nil"/>
            </w:tcBorders>
            <w:shd w:val="clear" w:color="auto" w:fill="auto"/>
            <w:noWrap/>
            <w:vAlign w:val="bottom"/>
            <w:hideMark/>
          </w:tcPr>
          <w:p w14:paraId="3763E9B6" w14:textId="77777777" w:rsidR="00812272" w:rsidRPr="00812272" w:rsidRDefault="00812272" w:rsidP="00812272">
            <w:pPr>
              <w:spacing w:after="0" w:line="240" w:lineRule="auto"/>
              <w:rPr>
                <w:rFonts w:ascii="Times New Roman" w:eastAsia="Times New Roman" w:hAnsi="Times New Roman" w:cs="Times New Roman"/>
                <w:sz w:val="24"/>
                <w:szCs w:val="24"/>
              </w:rPr>
            </w:pPr>
          </w:p>
        </w:tc>
        <w:tc>
          <w:tcPr>
            <w:tcW w:w="1245" w:type="dxa"/>
            <w:gridSpan w:val="5"/>
            <w:tcBorders>
              <w:top w:val="nil"/>
              <w:left w:val="nil"/>
              <w:bottom w:val="nil"/>
              <w:right w:val="nil"/>
            </w:tcBorders>
            <w:shd w:val="clear" w:color="auto" w:fill="auto"/>
            <w:noWrap/>
            <w:vAlign w:val="bottom"/>
            <w:hideMark/>
          </w:tcPr>
          <w:p w14:paraId="0F09ABB5" w14:textId="77777777" w:rsidR="00812272" w:rsidRPr="00812272" w:rsidRDefault="00812272" w:rsidP="00812272">
            <w:pPr>
              <w:spacing w:after="0" w:line="240" w:lineRule="auto"/>
              <w:rPr>
                <w:rFonts w:ascii="Times New Roman" w:eastAsia="Times New Roman" w:hAnsi="Times New Roman" w:cs="Times New Roman"/>
                <w:sz w:val="24"/>
                <w:szCs w:val="24"/>
              </w:rPr>
            </w:pPr>
          </w:p>
        </w:tc>
        <w:tc>
          <w:tcPr>
            <w:tcW w:w="1246" w:type="dxa"/>
            <w:gridSpan w:val="3"/>
            <w:tcBorders>
              <w:top w:val="nil"/>
              <w:left w:val="nil"/>
              <w:bottom w:val="nil"/>
              <w:right w:val="nil"/>
            </w:tcBorders>
            <w:shd w:val="clear" w:color="auto" w:fill="auto"/>
            <w:noWrap/>
            <w:vAlign w:val="bottom"/>
            <w:hideMark/>
          </w:tcPr>
          <w:p w14:paraId="010D0843" w14:textId="77777777" w:rsidR="00812272" w:rsidRPr="00812272" w:rsidRDefault="00812272" w:rsidP="00812272">
            <w:pPr>
              <w:spacing w:after="0" w:line="240" w:lineRule="auto"/>
              <w:rPr>
                <w:rFonts w:ascii="Times New Roman" w:eastAsia="Times New Roman" w:hAnsi="Times New Roman" w:cs="Times New Roman"/>
                <w:sz w:val="24"/>
                <w:szCs w:val="24"/>
              </w:rPr>
            </w:pPr>
          </w:p>
        </w:tc>
        <w:tc>
          <w:tcPr>
            <w:tcW w:w="1851" w:type="dxa"/>
            <w:gridSpan w:val="3"/>
            <w:tcBorders>
              <w:top w:val="nil"/>
              <w:left w:val="nil"/>
              <w:bottom w:val="nil"/>
              <w:right w:val="nil"/>
            </w:tcBorders>
            <w:shd w:val="clear" w:color="auto" w:fill="auto"/>
            <w:noWrap/>
            <w:vAlign w:val="bottom"/>
            <w:hideMark/>
          </w:tcPr>
          <w:p w14:paraId="6C02AD15" w14:textId="77777777" w:rsidR="00812272" w:rsidRPr="00812272" w:rsidRDefault="00812272" w:rsidP="00812272">
            <w:pPr>
              <w:spacing w:after="0" w:line="240" w:lineRule="auto"/>
              <w:jc w:val="center"/>
              <w:rPr>
                <w:rFonts w:ascii="Times New Roman" w:eastAsia="Times New Roman" w:hAnsi="Times New Roman" w:cs="Times New Roman"/>
                <w:sz w:val="24"/>
                <w:szCs w:val="24"/>
              </w:rPr>
            </w:pPr>
          </w:p>
        </w:tc>
      </w:tr>
      <w:tr w:rsidR="008433D1" w:rsidRPr="00693F81" w14:paraId="0AFFD618" w14:textId="77777777" w:rsidTr="00785006">
        <w:tblPrEx>
          <w:jc w:val="center"/>
        </w:tblPrEx>
        <w:trPr>
          <w:trHeight w:val="290"/>
          <w:jc w:val="center"/>
        </w:trPr>
        <w:tc>
          <w:tcPr>
            <w:tcW w:w="4358" w:type="dxa"/>
            <w:gridSpan w:val="3"/>
            <w:tcBorders>
              <w:top w:val="nil"/>
              <w:left w:val="nil"/>
              <w:bottom w:val="nil"/>
              <w:right w:val="nil"/>
            </w:tcBorders>
            <w:shd w:val="clear" w:color="auto" w:fill="auto"/>
            <w:noWrap/>
            <w:vAlign w:val="bottom"/>
            <w:hideMark/>
          </w:tcPr>
          <w:p w14:paraId="2CF135FB" w14:textId="77777777" w:rsidR="008433D1" w:rsidRPr="00A44656" w:rsidRDefault="008433D1" w:rsidP="008433D1">
            <w:pPr>
              <w:spacing w:after="0" w:line="240" w:lineRule="auto"/>
              <w:rPr>
                <w:rFonts w:ascii="Times New Roman" w:eastAsia="Times New Roman" w:hAnsi="Times New Roman" w:cs="Times New Roman"/>
                <w:color w:val="000000"/>
                <w:sz w:val="24"/>
                <w:szCs w:val="24"/>
              </w:rPr>
            </w:pPr>
            <w:r w:rsidRPr="00A446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1) R</w:t>
            </w:r>
            <w:r w:rsidRPr="0066434B">
              <w:rPr>
                <w:rFonts w:ascii="Times New Roman" w:eastAsia="Times New Roman" w:hAnsi="Times New Roman" w:cs="Times New Roman"/>
                <w:color w:val="000000"/>
                <w:sz w:val="24"/>
                <w:szCs w:val="24"/>
              </w:rPr>
              <w:t xml:space="preserve">aise BA </w:t>
            </w:r>
            <w:r>
              <w:rPr>
                <w:rFonts w:ascii="Times New Roman" w:eastAsia="Times New Roman" w:hAnsi="Times New Roman" w:cs="Times New Roman"/>
                <w:color w:val="000000"/>
                <w:sz w:val="24"/>
                <w:szCs w:val="24"/>
              </w:rPr>
              <w:t xml:space="preserve">share </w:t>
            </w:r>
            <w:r w:rsidRPr="0066434B">
              <w:rPr>
                <w:rFonts w:ascii="Times New Roman" w:eastAsia="Times New Roman" w:hAnsi="Times New Roman" w:cs="Times New Roman"/>
                <w:color w:val="000000"/>
                <w:sz w:val="24"/>
                <w:szCs w:val="24"/>
              </w:rPr>
              <w:t>to 50%</w:t>
            </w:r>
          </w:p>
        </w:tc>
        <w:tc>
          <w:tcPr>
            <w:tcW w:w="1245" w:type="dxa"/>
            <w:gridSpan w:val="3"/>
            <w:tcBorders>
              <w:top w:val="nil"/>
              <w:left w:val="nil"/>
              <w:bottom w:val="nil"/>
              <w:right w:val="nil"/>
            </w:tcBorders>
            <w:shd w:val="clear" w:color="auto" w:fill="auto"/>
            <w:noWrap/>
            <w:vAlign w:val="bottom"/>
            <w:hideMark/>
          </w:tcPr>
          <w:p w14:paraId="3CB0B04E" w14:textId="79024B8C" w:rsidR="008433D1" w:rsidRPr="008433D1" w:rsidRDefault="008433D1" w:rsidP="008433D1">
            <w:pPr>
              <w:spacing w:after="0" w:line="240" w:lineRule="auto"/>
              <w:jc w:val="right"/>
              <w:rPr>
                <w:rFonts w:ascii="Times New Roman" w:eastAsia="Times New Roman" w:hAnsi="Times New Roman" w:cs="Times New Roman"/>
                <w:color w:val="000000"/>
                <w:sz w:val="24"/>
                <w:szCs w:val="24"/>
              </w:rPr>
            </w:pPr>
            <w:r w:rsidRPr="008433D1">
              <w:rPr>
                <w:rFonts w:ascii="Times New Roman" w:hAnsi="Times New Roman" w:cs="Times New Roman"/>
                <w:color w:val="000000"/>
                <w:sz w:val="24"/>
                <w:szCs w:val="24"/>
              </w:rPr>
              <w:t>2.20</w:t>
            </w:r>
          </w:p>
        </w:tc>
        <w:tc>
          <w:tcPr>
            <w:tcW w:w="1245" w:type="dxa"/>
            <w:gridSpan w:val="4"/>
            <w:tcBorders>
              <w:top w:val="nil"/>
              <w:left w:val="nil"/>
              <w:bottom w:val="nil"/>
              <w:right w:val="nil"/>
            </w:tcBorders>
            <w:shd w:val="clear" w:color="auto" w:fill="auto"/>
            <w:noWrap/>
            <w:vAlign w:val="bottom"/>
            <w:hideMark/>
          </w:tcPr>
          <w:p w14:paraId="61687D2C" w14:textId="29A49745" w:rsidR="008433D1" w:rsidRPr="008433D1" w:rsidRDefault="008433D1" w:rsidP="008433D1">
            <w:pPr>
              <w:spacing w:after="0" w:line="240" w:lineRule="auto"/>
              <w:jc w:val="right"/>
              <w:rPr>
                <w:rFonts w:ascii="Times New Roman" w:eastAsia="Times New Roman" w:hAnsi="Times New Roman" w:cs="Times New Roman"/>
                <w:color w:val="000000"/>
                <w:sz w:val="24"/>
                <w:szCs w:val="24"/>
              </w:rPr>
            </w:pPr>
            <w:r w:rsidRPr="008433D1">
              <w:rPr>
                <w:rFonts w:ascii="Times New Roman" w:hAnsi="Times New Roman" w:cs="Times New Roman"/>
                <w:color w:val="000000"/>
                <w:sz w:val="24"/>
                <w:szCs w:val="24"/>
              </w:rPr>
              <w:t>5.25</w:t>
            </w:r>
          </w:p>
        </w:tc>
        <w:tc>
          <w:tcPr>
            <w:tcW w:w="1245" w:type="dxa"/>
            <w:gridSpan w:val="3"/>
            <w:tcBorders>
              <w:top w:val="nil"/>
              <w:left w:val="nil"/>
              <w:bottom w:val="nil"/>
              <w:right w:val="nil"/>
            </w:tcBorders>
            <w:shd w:val="clear" w:color="auto" w:fill="auto"/>
            <w:noWrap/>
            <w:vAlign w:val="bottom"/>
            <w:hideMark/>
          </w:tcPr>
          <w:p w14:paraId="0096DCDA" w14:textId="3FE5124F" w:rsidR="008433D1" w:rsidRPr="008433D1" w:rsidRDefault="008433D1" w:rsidP="008433D1">
            <w:pPr>
              <w:spacing w:after="0" w:line="240" w:lineRule="auto"/>
              <w:jc w:val="right"/>
              <w:rPr>
                <w:rFonts w:ascii="Times New Roman" w:eastAsia="Times New Roman" w:hAnsi="Times New Roman" w:cs="Times New Roman"/>
                <w:color w:val="000000"/>
                <w:sz w:val="24"/>
                <w:szCs w:val="24"/>
              </w:rPr>
            </w:pPr>
            <w:r w:rsidRPr="008433D1">
              <w:rPr>
                <w:rFonts w:ascii="Times New Roman" w:hAnsi="Times New Roman" w:cs="Times New Roman"/>
                <w:color w:val="000000"/>
                <w:sz w:val="24"/>
                <w:szCs w:val="24"/>
              </w:rPr>
              <w:t>1.52</w:t>
            </w:r>
          </w:p>
        </w:tc>
        <w:tc>
          <w:tcPr>
            <w:tcW w:w="1245" w:type="dxa"/>
            <w:gridSpan w:val="4"/>
            <w:tcBorders>
              <w:top w:val="nil"/>
              <w:left w:val="nil"/>
              <w:bottom w:val="nil"/>
              <w:right w:val="nil"/>
            </w:tcBorders>
            <w:shd w:val="clear" w:color="auto" w:fill="auto"/>
            <w:noWrap/>
            <w:vAlign w:val="bottom"/>
            <w:hideMark/>
          </w:tcPr>
          <w:p w14:paraId="36A33ED5" w14:textId="5683991A" w:rsidR="008433D1" w:rsidRPr="008433D1" w:rsidRDefault="008433D1" w:rsidP="008433D1">
            <w:pPr>
              <w:spacing w:after="0" w:line="240" w:lineRule="auto"/>
              <w:jc w:val="right"/>
              <w:rPr>
                <w:rFonts w:ascii="Times New Roman" w:eastAsia="Times New Roman" w:hAnsi="Times New Roman" w:cs="Times New Roman"/>
                <w:color w:val="000000"/>
                <w:sz w:val="24"/>
                <w:szCs w:val="24"/>
              </w:rPr>
            </w:pPr>
            <w:r w:rsidRPr="008433D1">
              <w:rPr>
                <w:rFonts w:ascii="Times New Roman" w:hAnsi="Times New Roman" w:cs="Times New Roman"/>
                <w:color w:val="000000"/>
                <w:sz w:val="24"/>
                <w:szCs w:val="24"/>
              </w:rPr>
              <w:t>3.62</w:t>
            </w:r>
          </w:p>
        </w:tc>
        <w:tc>
          <w:tcPr>
            <w:tcW w:w="1245" w:type="dxa"/>
            <w:gridSpan w:val="5"/>
            <w:tcBorders>
              <w:top w:val="nil"/>
              <w:left w:val="nil"/>
              <w:bottom w:val="nil"/>
              <w:right w:val="nil"/>
            </w:tcBorders>
            <w:shd w:val="clear" w:color="auto" w:fill="auto"/>
            <w:noWrap/>
            <w:vAlign w:val="bottom"/>
            <w:hideMark/>
          </w:tcPr>
          <w:p w14:paraId="2FAE4E98" w14:textId="2B840707" w:rsidR="008433D1" w:rsidRPr="008433D1" w:rsidRDefault="008433D1" w:rsidP="008433D1">
            <w:pPr>
              <w:spacing w:after="0" w:line="240" w:lineRule="auto"/>
              <w:jc w:val="right"/>
              <w:rPr>
                <w:rFonts w:ascii="Times New Roman" w:eastAsia="Times New Roman" w:hAnsi="Times New Roman" w:cs="Times New Roman"/>
                <w:color w:val="000000"/>
                <w:sz w:val="24"/>
                <w:szCs w:val="24"/>
              </w:rPr>
            </w:pPr>
            <w:r w:rsidRPr="008433D1">
              <w:rPr>
                <w:rFonts w:ascii="Times New Roman" w:hAnsi="Times New Roman" w:cs="Times New Roman"/>
                <w:color w:val="000000"/>
                <w:sz w:val="24"/>
                <w:szCs w:val="24"/>
              </w:rPr>
              <w:t>2.39</w:t>
            </w:r>
          </w:p>
        </w:tc>
        <w:tc>
          <w:tcPr>
            <w:tcW w:w="1246" w:type="dxa"/>
            <w:gridSpan w:val="3"/>
            <w:tcBorders>
              <w:top w:val="nil"/>
              <w:left w:val="nil"/>
              <w:bottom w:val="nil"/>
              <w:right w:val="nil"/>
            </w:tcBorders>
            <w:shd w:val="clear" w:color="auto" w:fill="auto"/>
            <w:noWrap/>
            <w:vAlign w:val="bottom"/>
            <w:hideMark/>
          </w:tcPr>
          <w:p w14:paraId="4D09DAA9" w14:textId="56F369E4" w:rsidR="008433D1" w:rsidRPr="008433D1" w:rsidRDefault="008433D1" w:rsidP="008433D1">
            <w:pPr>
              <w:spacing w:after="0" w:line="240" w:lineRule="auto"/>
              <w:jc w:val="right"/>
              <w:rPr>
                <w:rFonts w:ascii="Times New Roman" w:eastAsia="Times New Roman" w:hAnsi="Times New Roman" w:cs="Times New Roman"/>
                <w:color w:val="000000"/>
                <w:sz w:val="24"/>
                <w:szCs w:val="24"/>
              </w:rPr>
            </w:pPr>
            <w:r w:rsidRPr="008433D1">
              <w:rPr>
                <w:rFonts w:ascii="Times New Roman" w:hAnsi="Times New Roman" w:cs="Times New Roman"/>
                <w:color w:val="000000"/>
                <w:sz w:val="24"/>
                <w:szCs w:val="24"/>
              </w:rPr>
              <w:t>2.64</w:t>
            </w:r>
          </w:p>
        </w:tc>
        <w:tc>
          <w:tcPr>
            <w:tcW w:w="1851" w:type="dxa"/>
            <w:gridSpan w:val="3"/>
            <w:tcBorders>
              <w:top w:val="nil"/>
              <w:left w:val="nil"/>
              <w:bottom w:val="nil"/>
              <w:right w:val="nil"/>
            </w:tcBorders>
            <w:shd w:val="clear" w:color="auto" w:fill="auto"/>
            <w:noWrap/>
            <w:vAlign w:val="bottom"/>
            <w:hideMark/>
          </w:tcPr>
          <w:p w14:paraId="0E165D24" w14:textId="4963AC0B" w:rsidR="008433D1" w:rsidRPr="008433D1" w:rsidRDefault="008433D1" w:rsidP="008433D1">
            <w:pPr>
              <w:spacing w:after="0" w:line="240" w:lineRule="auto"/>
              <w:jc w:val="center"/>
              <w:rPr>
                <w:rFonts w:ascii="Times New Roman" w:eastAsia="Times New Roman" w:hAnsi="Times New Roman" w:cs="Times New Roman"/>
                <w:color w:val="000000"/>
                <w:sz w:val="24"/>
                <w:szCs w:val="24"/>
              </w:rPr>
            </w:pPr>
            <w:r w:rsidRPr="008433D1">
              <w:rPr>
                <w:rFonts w:ascii="Times New Roman" w:hAnsi="Times New Roman" w:cs="Times New Roman"/>
                <w:color w:val="000000"/>
                <w:sz w:val="24"/>
                <w:szCs w:val="24"/>
              </w:rPr>
              <w:t>0.397</w:t>
            </w:r>
          </w:p>
        </w:tc>
      </w:tr>
      <w:tr w:rsidR="008433D1" w:rsidRPr="00693F81" w14:paraId="063B7226" w14:textId="77777777" w:rsidTr="00785006">
        <w:tblPrEx>
          <w:jc w:val="center"/>
        </w:tblPrEx>
        <w:trPr>
          <w:trHeight w:val="290"/>
          <w:jc w:val="center"/>
        </w:trPr>
        <w:tc>
          <w:tcPr>
            <w:tcW w:w="4358" w:type="dxa"/>
            <w:gridSpan w:val="3"/>
            <w:tcBorders>
              <w:top w:val="nil"/>
              <w:left w:val="nil"/>
              <w:bottom w:val="nil"/>
              <w:right w:val="nil"/>
            </w:tcBorders>
            <w:shd w:val="clear" w:color="auto" w:fill="auto"/>
            <w:noWrap/>
            <w:vAlign w:val="bottom"/>
            <w:hideMark/>
          </w:tcPr>
          <w:p w14:paraId="13C50A0C" w14:textId="77777777" w:rsidR="008433D1" w:rsidRPr="00A44656" w:rsidRDefault="008433D1" w:rsidP="008433D1">
            <w:pPr>
              <w:spacing w:after="0" w:line="240" w:lineRule="auto"/>
              <w:rPr>
                <w:rFonts w:ascii="Times New Roman" w:eastAsia="Times New Roman" w:hAnsi="Times New Roman" w:cs="Times New Roman"/>
                <w:color w:val="000000"/>
                <w:sz w:val="24"/>
                <w:szCs w:val="24"/>
              </w:rPr>
            </w:pPr>
            <w:r w:rsidRPr="00A446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2) + Raise A</w:t>
            </w:r>
            <w:r w:rsidRPr="0066434B">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share to 15</w:t>
            </w:r>
            <w:r w:rsidRPr="0066434B">
              <w:rPr>
                <w:rFonts w:ascii="Times New Roman" w:eastAsia="Times New Roman" w:hAnsi="Times New Roman" w:cs="Times New Roman"/>
                <w:color w:val="000000"/>
                <w:sz w:val="24"/>
                <w:szCs w:val="24"/>
              </w:rPr>
              <w:t>%</w:t>
            </w:r>
          </w:p>
        </w:tc>
        <w:tc>
          <w:tcPr>
            <w:tcW w:w="1245" w:type="dxa"/>
            <w:gridSpan w:val="3"/>
            <w:tcBorders>
              <w:top w:val="nil"/>
              <w:left w:val="nil"/>
              <w:bottom w:val="nil"/>
              <w:right w:val="nil"/>
            </w:tcBorders>
            <w:shd w:val="clear" w:color="auto" w:fill="auto"/>
            <w:noWrap/>
            <w:vAlign w:val="bottom"/>
            <w:hideMark/>
          </w:tcPr>
          <w:p w14:paraId="091F3219" w14:textId="1DE5654C" w:rsidR="008433D1" w:rsidRPr="008433D1" w:rsidRDefault="008433D1" w:rsidP="008433D1">
            <w:pPr>
              <w:spacing w:after="0" w:line="240" w:lineRule="auto"/>
              <w:jc w:val="right"/>
              <w:rPr>
                <w:rFonts w:ascii="Times New Roman" w:eastAsia="Times New Roman" w:hAnsi="Times New Roman" w:cs="Times New Roman"/>
                <w:color w:val="000000"/>
                <w:sz w:val="24"/>
                <w:szCs w:val="24"/>
              </w:rPr>
            </w:pPr>
            <w:r w:rsidRPr="008433D1">
              <w:rPr>
                <w:rFonts w:ascii="Times New Roman" w:hAnsi="Times New Roman" w:cs="Times New Roman"/>
                <w:color w:val="000000"/>
                <w:sz w:val="24"/>
                <w:szCs w:val="24"/>
              </w:rPr>
              <w:t>2.24</w:t>
            </w:r>
          </w:p>
        </w:tc>
        <w:tc>
          <w:tcPr>
            <w:tcW w:w="1245" w:type="dxa"/>
            <w:gridSpan w:val="4"/>
            <w:tcBorders>
              <w:top w:val="nil"/>
              <w:left w:val="nil"/>
              <w:bottom w:val="nil"/>
              <w:right w:val="nil"/>
            </w:tcBorders>
            <w:shd w:val="clear" w:color="auto" w:fill="auto"/>
            <w:noWrap/>
            <w:vAlign w:val="bottom"/>
            <w:hideMark/>
          </w:tcPr>
          <w:p w14:paraId="0CD1A45B" w14:textId="39C4992D" w:rsidR="008433D1" w:rsidRPr="008433D1" w:rsidRDefault="008433D1" w:rsidP="008433D1">
            <w:pPr>
              <w:spacing w:after="0" w:line="240" w:lineRule="auto"/>
              <w:jc w:val="right"/>
              <w:rPr>
                <w:rFonts w:ascii="Times New Roman" w:eastAsia="Times New Roman" w:hAnsi="Times New Roman" w:cs="Times New Roman"/>
                <w:color w:val="000000"/>
                <w:sz w:val="24"/>
                <w:szCs w:val="24"/>
              </w:rPr>
            </w:pPr>
            <w:r w:rsidRPr="008433D1">
              <w:rPr>
                <w:rFonts w:ascii="Times New Roman" w:hAnsi="Times New Roman" w:cs="Times New Roman"/>
                <w:color w:val="000000"/>
                <w:sz w:val="24"/>
                <w:szCs w:val="24"/>
              </w:rPr>
              <w:t>5.21</w:t>
            </w:r>
          </w:p>
        </w:tc>
        <w:tc>
          <w:tcPr>
            <w:tcW w:w="1245" w:type="dxa"/>
            <w:gridSpan w:val="3"/>
            <w:tcBorders>
              <w:top w:val="nil"/>
              <w:left w:val="nil"/>
              <w:bottom w:val="nil"/>
              <w:right w:val="nil"/>
            </w:tcBorders>
            <w:shd w:val="clear" w:color="auto" w:fill="auto"/>
            <w:noWrap/>
            <w:vAlign w:val="bottom"/>
            <w:hideMark/>
          </w:tcPr>
          <w:p w14:paraId="619ADE2B" w14:textId="014719C9" w:rsidR="008433D1" w:rsidRPr="008433D1" w:rsidRDefault="008433D1" w:rsidP="008433D1">
            <w:pPr>
              <w:spacing w:after="0" w:line="240" w:lineRule="auto"/>
              <w:jc w:val="right"/>
              <w:rPr>
                <w:rFonts w:ascii="Times New Roman" w:eastAsia="Times New Roman" w:hAnsi="Times New Roman" w:cs="Times New Roman"/>
                <w:color w:val="000000"/>
                <w:sz w:val="24"/>
                <w:szCs w:val="24"/>
              </w:rPr>
            </w:pPr>
            <w:r w:rsidRPr="008433D1">
              <w:rPr>
                <w:rFonts w:ascii="Times New Roman" w:hAnsi="Times New Roman" w:cs="Times New Roman"/>
                <w:color w:val="000000"/>
                <w:sz w:val="24"/>
                <w:szCs w:val="24"/>
              </w:rPr>
              <w:t>1.54</w:t>
            </w:r>
          </w:p>
        </w:tc>
        <w:tc>
          <w:tcPr>
            <w:tcW w:w="1245" w:type="dxa"/>
            <w:gridSpan w:val="4"/>
            <w:tcBorders>
              <w:top w:val="nil"/>
              <w:left w:val="nil"/>
              <w:bottom w:val="nil"/>
              <w:right w:val="nil"/>
            </w:tcBorders>
            <w:shd w:val="clear" w:color="auto" w:fill="auto"/>
            <w:noWrap/>
            <w:vAlign w:val="bottom"/>
            <w:hideMark/>
          </w:tcPr>
          <w:p w14:paraId="0D4A10C9" w14:textId="7A72412F" w:rsidR="008433D1" w:rsidRPr="008433D1" w:rsidRDefault="008433D1" w:rsidP="008433D1">
            <w:pPr>
              <w:spacing w:after="0" w:line="240" w:lineRule="auto"/>
              <w:jc w:val="right"/>
              <w:rPr>
                <w:rFonts w:ascii="Times New Roman" w:eastAsia="Times New Roman" w:hAnsi="Times New Roman" w:cs="Times New Roman"/>
                <w:color w:val="000000"/>
                <w:sz w:val="24"/>
                <w:szCs w:val="24"/>
              </w:rPr>
            </w:pPr>
            <w:r w:rsidRPr="008433D1">
              <w:rPr>
                <w:rFonts w:ascii="Times New Roman" w:hAnsi="Times New Roman" w:cs="Times New Roman"/>
                <w:color w:val="000000"/>
                <w:sz w:val="24"/>
                <w:szCs w:val="24"/>
              </w:rPr>
              <w:t>3.57</w:t>
            </w:r>
          </w:p>
        </w:tc>
        <w:tc>
          <w:tcPr>
            <w:tcW w:w="1245" w:type="dxa"/>
            <w:gridSpan w:val="5"/>
            <w:tcBorders>
              <w:top w:val="nil"/>
              <w:left w:val="nil"/>
              <w:bottom w:val="nil"/>
              <w:right w:val="nil"/>
            </w:tcBorders>
            <w:shd w:val="clear" w:color="auto" w:fill="auto"/>
            <w:noWrap/>
            <w:vAlign w:val="bottom"/>
            <w:hideMark/>
          </w:tcPr>
          <w:p w14:paraId="6D72977A" w14:textId="694FFB04" w:rsidR="008433D1" w:rsidRPr="008433D1" w:rsidRDefault="008433D1" w:rsidP="008433D1">
            <w:pPr>
              <w:spacing w:after="0" w:line="240" w:lineRule="auto"/>
              <w:jc w:val="right"/>
              <w:rPr>
                <w:rFonts w:ascii="Times New Roman" w:eastAsia="Times New Roman" w:hAnsi="Times New Roman" w:cs="Times New Roman"/>
                <w:color w:val="000000"/>
                <w:sz w:val="24"/>
                <w:szCs w:val="24"/>
              </w:rPr>
            </w:pPr>
            <w:r w:rsidRPr="008433D1">
              <w:rPr>
                <w:rFonts w:ascii="Times New Roman" w:hAnsi="Times New Roman" w:cs="Times New Roman"/>
                <w:color w:val="000000"/>
                <w:sz w:val="24"/>
                <w:szCs w:val="24"/>
              </w:rPr>
              <w:t>2.32</w:t>
            </w:r>
          </w:p>
        </w:tc>
        <w:tc>
          <w:tcPr>
            <w:tcW w:w="1246" w:type="dxa"/>
            <w:gridSpan w:val="3"/>
            <w:tcBorders>
              <w:top w:val="nil"/>
              <w:left w:val="nil"/>
              <w:bottom w:val="nil"/>
              <w:right w:val="nil"/>
            </w:tcBorders>
            <w:shd w:val="clear" w:color="auto" w:fill="auto"/>
            <w:noWrap/>
            <w:vAlign w:val="bottom"/>
            <w:hideMark/>
          </w:tcPr>
          <w:p w14:paraId="602A26D1" w14:textId="740490EB" w:rsidR="008433D1" w:rsidRPr="008433D1" w:rsidRDefault="008433D1" w:rsidP="008433D1">
            <w:pPr>
              <w:spacing w:after="0" w:line="240" w:lineRule="auto"/>
              <w:jc w:val="right"/>
              <w:rPr>
                <w:rFonts w:ascii="Times New Roman" w:eastAsia="Times New Roman" w:hAnsi="Times New Roman" w:cs="Times New Roman"/>
                <w:color w:val="000000"/>
                <w:sz w:val="24"/>
                <w:szCs w:val="24"/>
              </w:rPr>
            </w:pPr>
            <w:r w:rsidRPr="008433D1">
              <w:rPr>
                <w:rFonts w:ascii="Times New Roman" w:hAnsi="Times New Roman" w:cs="Times New Roman"/>
                <w:color w:val="000000"/>
                <w:sz w:val="24"/>
                <w:szCs w:val="24"/>
              </w:rPr>
              <w:t>2.64</w:t>
            </w:r>
          </w:p>
        </w:tc>
        <w:tc>
          <w:tcPr>
            <w:tcW w:w="1851" w:type="dxa"/>
            <w:gridSpan w:val="3"/>
            <w:tcBorders>
              <w:top w:val="nil"/>
              <w:left w:val="nil"/>
              <w:bottom w:val="nil"/>
              <w:right w:val="nil"/>
            </w:tcBorders>
            <w:shd w:val="clear" w:color="auto" w:fill="auto"/>
            <w:noWrap/>
            <w:vAlign w:val="bottom"/>
            <w:hideMark/>
          </w:tcPr>
          <w:p w14:paraId="4C2017BC" w14:textId="06B0A704" w:rsidR="008433D1" w:rsidRPr="008433D1" w:rsidRDefault="008433D1" w:rsidP="008433D1">
            <w:pPr>
              <w:spacing w:after="0" w:line="240" w:lineRule="auto"/>
              <w:jc w:val="center"/>
              <w:rPr>
                <w:rFonts w:ascii="Times New Roman" w:eastAsia="Times New Roman" w:hAnsi="Times New Roman" w:cs="Times New Roman"/>
                <w:color w:val="000000"/>
                <w:sz w:val="24"/>
                <w:szCs w:val="24"/>
              </w:rPr>
            </w:pPr>
            <w:r w:rsidRPr="008433D1">
              <w:rPr>
                <w:rFonts w:ascii="Times New Roman" w:hAnsi="Times New Roman" w:cs="Times New Roman"/>
                <w:color w:val="000000"/>
                <w:sz w:val="24"/>
                <w:szCs w:val="24"/>
              </w:rPr>
              <w:t>0.394</w:t>
            </w:r>
          </w:p>
        </w:tc>
      </w:tr>
      <w:tr w:rsidR="008433D1" w:rsidRPr="00693F81" w14:paraId="1540488A" w14:textId="77777777" w:rsidTr="00785006">
        <w:tblPrEx>
          <w:jc w:val="center"/>
        </w:tblPrEx>
        <w:trPr>
          <w:trHeight w:val="290"/>
          <w:jc w:val="center"/>
        </w:trPr>
        <w:tc>
          <w:tcPr>
            <w:tcW w:w="4358" w:type="dxa"/>
            <w:gridSpan w:val="3"/>
            <w:tcBorders>
              <w:top w:val="nil"/>
              <w:left w:val="nil"/>
              <w:bottom w:val="nil"/>
              <w:right w:val="nil"/>
            </w:tcBorders>
            <w:shd w:val="clear" w:color="auto" w:fill="auto"/>
            <w:noWrap/>
            <w:vAlign w:val="bottom"/>
            <w:hideMark/>
          </w:tcPr>
          <w:p w14:paraId="3196D008" w14:textId="77777777" w:rsidR="008433D1" w:rsidRPr="00A44656" w:rsidRDefault="008433D1" w:rsidP="008433D1">
            <w:pPr>
              <w:spacing w:after="0" w:line="240" w:lineRule="auto"/>
              <w:rPr>
                <w:rFonts w:ascii="Times New Roman" w:eastAsia="Times New Roman" w:hAnsi="Times New Roman" w:cs="Times New Roman"/>
                <w:color w:val="000000"/>
                <w:sz w:val="24"/>
                <w:szCs w:val="24"/>
              </w:rPr>
            </w:pPr>
            <w:r w:rsidRPr="00A446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3) 6</w:t>
            </w:r>
            <w:r w:rsidRPr="0066434B">
              <w:rPr>
                <w:rFonts w:ascii="Times New Roman" w:eastAsia="Times New Roman" w:hAnsi="Times New Roman" w:cs="Times New Roman"/>
                <w:color w:val="000000"/>
                <w:sz w:val="24"/>
                <w:szCs w:val="24"/>
              </w:rPr>
              <w:t xml:space="preserve">0% </w:t>
            </w:r>
            <w:r>
              <w:rPr>
                <w:rFonts w:ascii="Times New Roman" w:eastAsia="Times New Roman" w:hAnsi="Times New Roman" w:cs="Times New Roman"/>
                <w:color w:val="000000"/>
                <w:sz w:val="24"/>
                <w:szCs w:val="24"/>
              </w:rPr>
              <w:t>B</w:t>
            </w:r>
            <w:r w:rsidRPr="0066434B">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share</w:t>
            </w:r>
            <w:r w:rsidRPr="0066434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w:t>
            </w:r>
            <w:r w:rsidRPr="0066434B">
              <w:rPr>
                <w:rFonts w:ascii="Times New Roman" w:eastAsia="Times New Roman" w:hAnsi="Times New Roman" w:cs="Times New Roman"/>
                <w:color w:val="000000"/>
                <w:sz w:val="24"/>
                <w:szCs w:val="24"/>
              </w:rPr>
              <w:t xml:space="preserve">0% </w:t>
            </w:r>
            <w:r>
              <w:rPr>
                <w:rFonts w:ascii="Times New Roman" w:eastAsia="Times New Roman" w:hAnsi="Times New Roman" w:cs="Times New Roman"/>
                <w:color w:val="000000"/>
                <w:sz w:val="24"/>
                <w:szCs w:val="24"/>
              </w:rPr>
              <w:t>A</w:t>
            </w:r>
            <w:r w:rsidRPr="0066434B">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share</w:t>
            </w:r>
          </w:p>
        </w:tc>
        <w:tc>
          <w:tcPr>
            <w:tcW w:w="1245" w:type="dxa"/>
            <w:gridSpan w:val="3"/>
            <w:tcBorders>
              <w:top w:val="nil"/>
              <w:left w:val="nil"/>
              <w:bottom w:val="nil"/>
              <w:right w:val="nil"/>
            </w:tcBorders>
            <w:shd w:val="clear" w:color="auto" w:fill="auto"/>
            <w:noWrap/>
            <w:vAlign w:val="bottom"/>
            <w:hideMark/>
          </w:tcPr>
          <w:p w14:paraId="01B78D8A" w14:textId="2EBB2695" w:rsidR="008433D1" w:rsidRPr="008433D1" w:rsidRDefault="008433D1" w:rsidP="008433D1">
            <w:pPr>
              <w:spacing w:after="0" w:line="240" w:lineRule="auto"/>
              <w:jc w:val="right"/>
              <w:rPr>
                <w:rFonts w:ascii="Times New Roman" w:eastAsia="Times New Roman" w:hAnsi="Times New Roman" w:cs="Times New Roman"/>
                <w:color w:val="000000"/>
                <w:sz w:val="24"/>
                <w:szCs w:val="24"/>
              </w:rPr>
            </w:pPr>
            <w:r w:rsidRPr="008433D1">
              <w:rPr>
                <w:rFonts w:ascii="Times New Roman" w:hAnsi="Times New Roman" w:cs="Times New Roman"/>
                <w:color w:val="000000"/>
                <w:sz w:val="24"/>
                <w:szCs w:val="24"/>
              </w:rPr>
              <w:t>2.26</w:t>
            </w:r>
          </w:p>
        </w:tc>
        <w:tc>
          <w:tcPr>
            <w:tcW w:w="1245" w:type="dxa"/>
            <w:gridSpan w:val="4"/>
            <w:tcBorders>
              <w:top w:val="nil"/>
              <w:left w:val="nil"/>
              <w:bottom w:val="nil"/>
              <w:right w:val="nil"/>
            </w:tcBorders>
            <w:shd w:val="clear" w:color="auto" w:fill="auto"/>
            <w:noWrap/>
            <w:vAlign w:val="bottom"/>
            <w:hideMark/>
          </w:tcPr>
          <w:p w14:paraId="79BD974F" w14:textId="61451D33" w:rsidR="008433D1" w:rsidRPr="008433D1" w:rsidRDefault="008433D1" w:rsidP="008433D1">
            <w:pPr>
              <w:spacing w:after="0" w:line="240" w:lineRule="auto"/>
              <w:jc w:val="right"/>
              <w:rPr>
                <w:rFonts w:ascii="Times New Roman" w:eastAsia="Times New Roman" w:hAnsi="Times New Roman" w:cs="Times New Roman"/>
                <w:color w:val="000000"/>
                <w:sz w:val="24"/>
                <w:szCs w:val="24"/>
              </w:rPr>
            </w:pPr>
            <w:r w:rsidRPr="008433D1">
              <w:rPr>
                <w:rFonts w:ascii="Times New Roman" w:hAnsi="Times New Roman" w:cs="Times New Roman"/>
                <w:color w:val="000000"/>
                <w:sz w:val="24"/>
                <w:szCs w:val="24"/>
              </w:rPr>
              <w:t>5.00</w:t>
            </w:r>
          </w:p>
        </w:tc>
        <w:tc>
          <w:tcPr>
            <w:tcW w:w="1245" w:type="dxa"/>
            <w:gridSpan w:val="3"/>
            <w:tcBorders>
              <w:top w:val="nil"/>
              <w:left w:val="nil"/>
              <w:bottom w:val="nil"/>
              <w:right w:val="nil"/>
            </w:tcBorders>
            <w:shd w:val="clear" w:color="auto" w:fill="auto"/>
            <w:noWrap/>
            <w:vAlign w:val="bottom"/>
            <w:hideMark/>
          </w:tcPr>
          <w:p w14:paraId="7962AA09" w14:textId="0A00B85E" w:rsidR="008433D1" w:rsidRPr="008433D1" w:rsidRDefault="008433D1" w:rsidP="008433D1">
            <w:pPr>
              <w:spacing w:after="0" w:line="240" w:lineRule="auto"/>
              <w:jc w:val="right"/>
              <w:rPr>
                <w:rFonts w:ascii="Times New Roman" w:eastAsia="Times New Roman" w:hAnsi="Times New Roman" w:cs="Times New Roman"/>
                <w:color w:val="000000"/>
                <w:sz w:val="24"/>
                <w:szCs w:val="24"/>
              </w:rPr>
            </w:pPr>
            <w:r w:rsidRPr="008433D1">
              <w:rPr>
                <w:rFonts w:ascii="Times New Roman" w:hAnsi="Times New Roman" w:cs="Times New Roman"/>
                <w:color w:val="000000"/>
                <w:sz w:val="24"/>
                <w:szCs w:val="24"/>
              </w:rPr>
              <w:t>1.52</w:t>
            </w:r>
          </w:p>
        </w:tc>
        <w:tc>
          <w:tcPr>
            <w:tcW w:w="1245" w:type="dxa"/>
            <w:gridSpan w:val="4"/>
            <w:tcBorders>
              <w:top w:val="nil"/>
              <w:left w:val="nil"/>
              <w:bottom w:val="nil"/>
              <w:right w:val="nil"/>
            </w:tcBorders>
            <w:shd w:val="clear" w:color="auto" w:fill="auto"/>
            <w:noWrap/>
            <w:vAlign w:val="bottom"/>
            <w:hideMark/>
          </w:tcPr>
          <w:p w14:paraId="5922013F" w14:textId="1A9C6C17" w:rsidR="008433D1" w:rsidRPr="008433D1" w:rsidRDefault="008433D1" w:rsidP="008433D1">
            <w:pPr>
              <w:spacing w:after="0" w:line="240" w:lineRule="auto"/>
              <w:jc w:val="right"/>
              <w:rPr>
                <w:rFonts w:ascii="Times New Roman" w:eastAsia="Times New Roman" w:hAnsi="Times New Roman" w:cs="Times New Roman"/>
                <w:color w:val="000000"/>
                <w:sz w:val="24"/>
                <w:szCs w:val="24"/>
              </w:rPr>
            </w:pPr>
            <w:r w:rsidRPr="008433D1">
              <w:rPr>
                <w:rFonts w:ascii="Times New Roman" w:hAnsi="Times New Roman" w:cs="Times New Roman"/>
                <w:color w:val="000000"/>
                <w:sz w:val="24"/>
                <w:szCs w:val="24"/>
              </w:rPr>
              <w:t>3.36</w:t>
            </w:r>
          </w:p>
        </w:tc>
        <w:tc>
          <w:tcPr>
            <w:tcW w:w="1245" w:type="dxa"/>
            <w:gridSpan w:val="5"/>
            <w:tcBorders>
              <w:top w:val="nil"/>
              <w:left w:val="nil"/>
              <w:bottom w:val="nil"/>
              <w:right w:val="nil"/>
            </w:tcBorders>
            <w:shd w:val="clear" w:color="auto" w:fill="auto"/>
            <w:noWrap/>
            <w:vAlign w:val="bottom"/>
            <w:hideMark/>
          </w:tcPr>
          <w:p w14:paraId="0896AFF9" w14:textId="4AE3F0BD" w:rsidR="008433D1" w:rsidRPr="008433D1" w:rsidRDefault="008433D1" w:rsidP="008433D1">
            <w:pPr>
              <w:spacing w:after="0" w:line="240" w:lineRule="auto"/>
              <w:jc w:val="right"/>
              <w:rPr>
                <w:rFonts w:ascii="Times New Roman" w:eastAsia="Times New Roman" w:hAnsi="Times New Roman" w:cs="Times New Roman"/>
                <w:color w:val="000000"/>
                <w:sz w:val="24"/>
                <w:szCs w:val="24"/>
              </w:rPr>
            </w:pPr>
            <w:r w:rsidRPr="008433D1">
              <w:rPr>
                <w:rFonts w:ascii="Times New Roman" w:hAnsi="Times New Roman" w:cs="Times New Roman"/>
                <w:color w:val="000000"/>
                <w:sz w:val="24"/>
                <w:szCs w:val="24"/>
              </w:rPr>
              <w:t>2.21</w:t>
            </w:r>
          </w:p>
        </w:tc>
        <w:tc>
          <w:tcPr>
            <w:tcW w:w="1246" w:type="dxa"/>
            <w:gridSpan w:val="3"/>
            <w:tcBorders>
              <w:top w:val="nil"/>
              <w:left w:val="nil"/>
              <w:bottom w:val="nil"/>
              <w:right w:val="nil"/>
            </w:tcBorders>
            <w:shd w:val="clear" w:color="auto" w:fill="auto"/>
            <w:noWrap/>
            <w:vAlign w:val="bottom"/>
            <w:hideMark/>
          </w:tcPr>
          <w:p w14:paraId="17E98E05" w14:textId="3C3FDB1A" w:rsidR="008433D1" w:rsidRPr="008433D1" w:rsidRDefault="008433D1" w:rsidP="008433D1">
            <w:pPr>
              <w:spacing w:after="0" w:line="240" w:lineRule="auto"/>
              <w:jc w:val="right"/>
              <w:rPr>
                <w:rFonts w:ascii="Times New Roman" w:eastAsia="Times New Roman" w:hAnsi="Times New Roman" w:cs="Times New Roman"/>
                <w:color w:val="000000"/>
                <w:sz w:val="24"/>
                <w:szCs w:val="24"/>
              </w:rPr>
            </w:pPr>
            <w:r w:rsidRPr="008433D1">
              <w:rPr>
                <w:rFonts w:ascii="Times New Roman" w:hAnsi="Times New Roman" w:cs="Times New Roman"/>
                <w:color w:val="000000"/>
                <w:sz w:val="24"/>
                <w:szCs w:val="24"/>
              </w:rPr>
              <w:t>2.62</w:t>
            </w:r>
          </w:p>
        </w:tc>
        <w:tc>
          <w:tcPr>
            <w:tcW w:w="1851" w:type="dxa"/>
            <w:gridSpan w:val="3"/>
            <w:tcBorders>
              <w:top w:val="nil"/>
              <w:left w:val="nil"/>
              <w:bottom w:val="nil"/>
              <w:right w:val="nil"/>
            </w:tcBorders>
            <w:shd w:val="clear" w:color="auto" w:fill="auto"/>
            <w:noWrap/>
            <w:vAlign w:val="bottom"/>
            <w:hideMark/>
          </w:tcPr>
          <w:p w14:paraId="75FA0FE2" w14:textId="433F64DE" w:rsidR="008433D1" w:rsidRPr="008433D1" w:rsidRDefault="008433D1" w:rsidP="008433D1">
            <w:pPr>
              <w:spacing w:after="0" w:line="240" w:lineRule="auto"/>
              <w:jc w:val="center"/>
              <w:rPr>
                <w:rFonts w:ascii="Times New Roman" w:eastAsia="Times New Roman" w:hAnsi="Times New Roman" w:cs="Times New Roman"/>
                <w:color w:val="000000"/>
                <w:sz w:val="24"/>
                <w:szCs w:val="24"/>
              </w:rPr>
            </w:pPr>
            <w:r w:rsidRPr="008433D1">
              <w:rPr>
                <w:rFonts w:ascii="Times New Roman" w:hAnsi="Times New Roman" w:cs="Times New Roman"/>
                <w:color w:val="000000"/>
                <w:sz w:val="24"/>
                <w:szCs w:val="24"/>
              </w:rPr>
              <w:t>0.382</w:t>
            </w:r>
          </w:p>
        </w:tc>
      </w:tr>
      <w:tr w:rsidR="0018258B" w:rsidRPr="00693F81" w14:paraId="6637FFEF" w14:textId="77777777" w:rsidTr="0018258B">
        <w:tblPrEx>
          <w:jc w:val="center"/>
        </w:tblPrEx>
        <w:trPr>
          <w:trHeight w:val="180"/>
          <w:jc w:val="center"/>
        </w:trPr>
        <w:tc>
          <w:tcPr>
            <w:tcW w:w="4358" w:type="dxa"/>
            <w:gridSpan w:val="3"/>
            <w:tcBorders>
              <w:top w:val="nil"/>
              <w:left w:val="nil"/>
              <w:bottom w:val="single" w:sz="4" w:space="0" w:color="auto"/>
              <w:right w:val="nil"/>
            </w:tcBorders>
            <w:shd w:val="clear" w:color="auto" w:fill="auto"/>
            <w:noWrap/>
            <w:vAlign w:val="bottom"/>
            <w:hideMark/>
          </w:tcPr>
          <w:p w14:paraId="5E2B9E4A" w14:textId="77777777" w:rsidR="0018258B" w:rsidRPr="00693F81" w:rsidRDefault="0018258B" w:rsidP="00E244D1">
            <w:pPr>
              <w:spacing w:after="0" w:line="240" w:lineRule="auto"/>
              <w:jc w:val="right"/>
              <w:rPr>
                <w:rFonts w:ascii="Times New Roman" w:eastAsia="Times New Roman" w:hAnsi="Times New Roman" w:cs="Times New Roman"/>
                <w:color w:val="000000"/>
              </w:rPr>
            </w:pPr>
            <w:r w:rsidRPr="00693F81">
              <w:rPr>
                <w:rFonts w:ascii="Times New Roman" w:eastAsia="Times New Roman" w:hAnsi="Times New Roman" w:cs="Times New Roman"/>
                <w:color w:val="000000"/>
              </w:rPr>
              <w:t> </w:t>
            </w:r>
          </w:p>
        </w:tc>
        <w:tc>
          <w:tcPr>
            <w:tcW w:w="1213" w:type="dxa"/>
            <w:gridSpan w:val="2"/>
            <w:tcBorders>
              <w:top w:val="nil"/>
              <w:left w:val="nil"/>
              <w:bottom w:val="single" w:sz="4" w:space="0" w:color="auto"/>
              <w:right w:val="nil"/>
            </w:tcBorders>
            <w:shd w:val="clear" w:color="auto" w:fill="auto"/>
            <w:noWrap/>
            <w:vAlign w:val="bottom"/>
            <w:hideMark/>
          </w:tcPr>
          <w:p w14:paraId="4A6453A6" w14:textId="77777777" w:rsidR="0018258B" w:rsidRPr="00693F81" w:rsidRDefault="0018258B" w:rsidP="00E244D1">
            <w:pPr>
              <w:spacing w:after="0" w:line="240" w:lineRule="auto"/>
              <w:jc w:val="right"/>
              <w:rPr>
                <w:rFonts w:ascii="Times New Roman" w:eastAsia="Times New Roman" w:hAnsi="Times New Roman" w:cs="Times New Roman"/>
                <w:color w:val="000000"/>
              </w:rPr>
            </w:pPr>
            <w:r w:rsidRPr="00693F81">
              <w:rPr>
                <w:rFonts w:ascii="Times New Roman" w:eastAsia="Times New Roman" w:hAnsi="Times New Roman" w:cs="Times New Roman"/>
                <w:color w:val="000000"/>
              </w:rPr>
              <w:t> </w:t>
            </w:r>
          </w:p>
        </w:tc>
        <w:tc>
          <w:tcPr>
            <w:tcW w:w="1214" w:type="dxa"/>
            <w:gridSpan w:val="4"/>
            <w:tcBorders>
              <w:top w:val="nil"/>
              <w:left w:val="nil"/>
              <w:bottom w:val="single" w:sz="4" w:space="0" w:color="auto"/>
              <w:right w:val="nil"/>
            </w:tcBorders>
            <w:shd w:val="clear" w:color="auto" w:fill="auto"/>
            <w:noWrap/>
            <w:vAlign w:val="bottom"/>
            <w:hideMark/>
          </w:tcPr>
          <w:p w14:paraId="05E9EE2F" w14:textId="77777777" w:rsidR="0018258B" w:rsidRPr="00693F81" w:rsidRDefault="0018258B" w:rsidP="00E244D1">
            <w:pPr>
              <w:spacing w:after="0" w:line="240" w:lineRule="auto"/>
              <w:jc w:val="right"/>
              <w:rPr>
                <w:rFonts w:ascii="Times New Roman" w:eastAsia="Times New Roman" w:hAnsi="Times New Roman" w:cs="Times New Roman"/>
                <w:color w:val="000000"/>
              </w:rPr>
            </w:pPr>
            <w:r w:rsidRPr="00693F81">
              <w:rPr>
                <w:rFonts w:ascii="Times New Roman" w:eastAsia="Times New Roman" w:hAnsi="Times New Roman" w:cs="Times New Roman"/>
                <w:color w:val="000000"/>
              </w:rPr>
              <w:t> </w:t>
            </w:r>
          </w:p>
        </w:tc>
        <w:tc>
          <w:tcPr>
            <w:tcW w:w="1346" w:type="dxa"/>
            <w:gridSpan w:val="5"/>
            <w:tcBorders>
              <w:top w:val="nil"/>
              <w:left w:val="nil"/>
              <w:bottom w:val="single" w:sz="4" w:space="0" w:color="auto"/>
              <w:right w:val="nil"/>
            </w:tcBorders>
            <w:shd w:val="clear" w:color="auto" w:fill="auto"/>
            <w:noWrap/>
            <w:vAlign w:val="bottom"/>
            <w:hideMark/>
          </w:tcPr>
          <w:p w14:paraId="7A63439B" w14:textId="77777777" w:rsidR="0018258B" w:rsidRPr="00693F81" w:rsidRDefault="0018258B" w:rsidP="00E244D1">
            <w:pPr>
              <w:spacing w:after="0" w:line="240" w:lineRule="auto"/>
              <w:rPr>
                <w:rFonts w:ascii="Times New Roman" w:eastAsia="Times New Roman" w:hAnsi="Times New Roman" w:cs="Times New Roman"/>
                <w:color w:val="000000"/>
              </w:rPr>
            </w:pPr>
            <w:r w:rsidRPr="00693F81">
              <w:rPr>
                <w:rFonts w:ascii="Times New Roman" w:eastAsia="Times New Roman" w:hAnsi="Times New Roman" w:cs="Times New Roman"/>
                <w:color w:val="000000"/>
              </w:rPr>
              <w:t> </w:t>
            </w:r>
          </w:p>
        </w:tc>
        <w:tc>
          <w:tcPr>
            <w:tcW w:w="1214" w:type="dxa"/>
            <w:gridSpan w:val="4"/>
            <w:tcBorders>
              <w:top w:val="nil"/>
              <w:left w:val="nil"/>
              <w:bottom w:val="single" w:sz="4" w:space="0" w:color="auto"/>
              <w:right w:val="nil"/>
            </w:tcBorders>
            <w:shd w:val="clear" w:color="auto" w:fill="auto"/>
            <w:noWrap/>
            <w:vAlign w:val="bottom"/>
            <w:hideMark/>
          </w:tcPr>
          <w:p w14:paraId="4D259CE6" w14:textId="77777777" w:rsidR="0018258B" w:rsidRPr="00693F81" w:rsidRDefault="0018258B" w:rsidP="00E244D1">
            <w:pPr>
              <w:spacing w:after="0" w:line="240" w:lineRule="auto"/>
              <w:rPr>
                <w:rFonts w:ascii="Times New Roman" w:eastAsia="Times New Roman" w:hAnsi="Times New Roman" w:cs="Times New Roman"/>
                <w:color w:val="000000"/>
              </w:rPr>
            </w:pPr>
            <w:r w:rsidRPr="00693F81">
              <w:rPr>
                <w:rFonts w:ascii="Times New Roman" w:eastAsia="Times New Roman" w:hAnsi="Times New Roman" w:cs="Times New Roman"/>
                <w:color w:val="000000"/>
              </w:rPr>
              <w:t> </w:t>
            </w:r>
          </w:p>
        </w:tc>
        <w:tc>
          <w:tcPr>
            <w:tcW w:w="1214" w:type="dxa"/>
            <w:gridSpan w:val="3"/>
            <w:tcBorders>
              <w:top w:val="nil"/>
              <w:left w:val="nil"/>
              <w:bottom w:val="single" w:sz="4" w:space="0" w:color="auto"/>
              <w:right w:val="nil"/>
            </w:tcBorders>
            <w:shd w:val="clear" w:color="auto" w:fill="auto"/>
            <w:noWrap/>
            <w:vAlign w:val="bottom"/>
            <w:hideMark/>
          </w:tcPr>
          <w:p w14:paraId="37010CAE" w14:textId="77777777" w:rsidR="0018258B" w:rsidRPr="00693F81" w:rsidRDefault="0018258B" w:rsidP="00E244D1">
            <w:pPr>
              <w:spacing w:after="0" w:line="240" w:lineRule="auto"/>
              <w:rPr>
                <w:rFonts w:ascii="Times New Roman" w:eastAsia="Times New Roman" w:hAnsi="Times New Roman" w:cs="Times New Roman"/>
                <w:color w:val="000000"/>
              </w:rPr>
            </w:pPr>
            <w:r w:rsidRPr="00693F81">
              <w:rPr>
                <w:rFonts w:ascii="Times New Roman" w:eastAsia="Times New Roman" w:hAnsi="Times New Roman" w:cs="Times New Roman"/>
                <w:color w:val="000000"/>
              </w:rPr>
              <w:t> </w:t>
            </w:r>
          </w:p>
        </w:tc>
        <w:tc>
          <w:tcPr>
            <w:tcW w:w="1270" w:type="dxa"/>
            <w:gridSpan w:val="4"/>
            <w:tcBorders>
              <w:top w:val="nil"/>
              <w:left w:val="nil"/>
              <w:bottom w:val="single" w:sz="4" w:space="0" w:color="auto"/>
              <w:right w:val="nil"/>
            </w:tcBorders>
            <w:shd w:val="clear" w:color="auto" w:fill="auto"/>
            <w:noWrap/>
            <w:vAlign w:val="bottom"/>
            <w:hideMark/>
          </w:tcPr>
          <w:p w14:paraId="3E5042FB" w14:textId="77777777" w:rsidR="0018258B" w:rsidRPr="00693F81" w:rsidRDefault="0018258B" w:rsidP="00E244D1">
            <w:pPr>
              <w:spacing w:after="0" w:line="240" w:lineRule="auto"/>
              <w:rPr>
                <w:rFonts w:ascii="Times New Roman" w:eastAsia="Times New Roman" w:hAnsi="Times New Roman" w:cs="Times New Roman"/>
                <w:color w:val="000000"/>
              </w:rPr>
            </w:pPr>
            <w:r w:rsidRPr="00693F81">
              <w:rPr>
                <w:rFonts w:ascii="Times New Roman" w:eastAsia="Times New Roman" w:hAnsi="Times New Roman" w:cs="Times New Roman"/>
                <w:color w:val="000000"/>
              </w:rPr>
              <w:t> </w:t>
            </w:r>
          </w:p>
        </w:tc>
        <w:tc>
          <w:tcPr>
            <w:tcW w:w="1851" w:type="dxa"/>
            <w:gridSpan w:val="3"/>
            <w:tcBorders>
              <w:top w:val="nil"/>
              <w:left w:val="nil"/>
              <w:bottom w:val="single" w:sz="4" w:space="0" w:color="auto"/>
              <w:right w:val="nil"/>
            </w:tcBorders>
            <w:shd w:val="clear" w:color="auto" w:fill="auto"/>
            <w:noWrap/>
            <w:vAlign w:val="bottom"/>
            <w:hideMark/>
          </w:tcPr>
          <w:p w14:paraId="282673DF" w14:textId="77777777" w:rsidR="0018258B" w:rsidRPr="00693F81" w:rsidRDefault="0018258B" w:rsidP="00E244D1">
            <w:pPr>
              <w:spacing w:after="0" w:line="240" w:lineRule="auto"/>
              <w:rPr>
                <w:rFonts w:ascii="Times New Roman" w:eastAsia="Times New Roman" w:hAnsi="Times New Roman" w:cs="Times New Roman"/>
                <w:color w:val="000000"/>
              </w:rPr>
            </w:pPr>
            <w:r w:rsidRPr="00693F81">
              <w:rPr>
                <w:rFonts w:ascii="Times New Roman" w:eastAsia="Times New Roman" w:hAnsi="Times New Roman" w:cs="Times New Roman"/>
                <w:color w:val="000000"/>
              </w:rPr>
              <w:t> </w:t>
            </w:r>
          </w:p>
        </w:tc>
      </w:tr>
      <w:tr w:rsidR="0018258B" w:rsidRPr="00693F81" w14:paraId="0ECFF69F" w14:textId="77777777" w:rsidTr="0018258B">
        <w:tblPrEx>
          <w:jc w:val="center"/>
        </w:tblPrEx>
        <w:trPr>
          <w:gridAfter w:val="1"/>
          <w:wAfter w:w="51" w:type="dxa"/>
          <w:trHeight w:val="1100"/>
          <w:jc w:val="center"/>
        </w:trPr>
        <w:tc>
          <w:tcPr>
            <w:tcW w:w="13629" w:type="dxa"/>
            <w:gridSpan w:val="27"/>
            <w:tcBorders>
              <w:top w:val="single" w:sz="4" w:space="0" w:color="auto"/>
              <w:left w:val="nil"/>
              <w:bottom w:val="nil"/>
              <w:right w:val="nil"/>
            </w:tcBorders>
            <w:shd w:val="clear" w:color="auto" w:fill="auto"/>
            <w:hideMark/>
          </w:tcPr>
          <w:p w14:paraId="0D62706F" w14:textId="77777777" w:rsidR="0018258B" w:rsidRDefault="0018258B" w:rsidP="00E244D1">
            <w:pPr>
              <w:spacing w:before="120" w:after="0" w:line="240" w:lineRule="auto"/>
              <w:rPr>
                <w:rFonts w:ascii="Times New Roman" w:eastAsia="Times New Roman" w:hAnsi="Times New Roman" w:cs="Times New Roman"/>
                <w:color w:val="000000"/>
                <w:sz w:val="20"/>
                <w:szCs w:val="20"/>
              </w:rPr>
            </w:pPr>
            <w:r w:rsidRPr="008640AF">
              <w:rPr>
                <w:rFonts w:ascii="Times New Roman" w:eastAsia="Times New Roman" w:hAnsi="Times New Roman" w:cs="Times New Roman"/>
                <w:i/>
                <w:color w:val="000000"/>
                <w:sz w:val="20"/>
                <w:szCs w:val="20"/>
              </w:rPr>
              <w:t>Note</w:t>
            </w:r>
            <w:r w:rsidRPr="00BD761B">
              <w:rPr>
                <w:rFonts w:ascii="Times New Roman" w:eastAsia="Times New Roman" w:hAnsi="Times New Roman" w:cs="Times New Roman"/>
                <w:smallCaps/>
                <w:color w:val="000000"/>
                <w:sz w:val="20"/>
                <w:szCs w:val="20"/>
              </w:rPr>
              <w:t>:</w:t>
            </w:r>
            <w:r>
              <w:rPr>
                <w:rFonts w:ascii="Times New Roman" w:eastAsia="Times New Roman" w:hAnsi="Times New Roman" w:cs="Times New Roman"/>
                <w:smallCaps/>
                <w:color w:val="000000"/>
                <w:sz w:val="20"/>
                <w:szCs w:val="20"/>
              </w:rPr>
              <w:t xml:space="preserve"> </w:t>
            </w:r>
            <w:r w:rsidRPr="00693F81">
              <w:rPr>
                <w:rFonts w:ascii="Times New Roman" w:eastAsia="Times New Roman" w:hAnsi="Times New Roman" w:cs="Times New Roman"/>
                <w:color w:val="000000"/>
                <w:sz w:val="20"/>
                <w:szCs w:val="20"/>
              </w:rPr>
              <w:t xml:space="preserve">The distribution method assigns </w:t>
            </w:r>
            <w:r>
              <w:rPr>
                <w:rFonts w:ascii="Times New Roman" w:eastAsia="Times New Roman" w:hAnsi="Times New Roman" w:cs="Times New Roman"/>
                <w:color w:val="000000"/>
                <w:sz w:val="20"/>
                <w:szCs w:val="20"/>
              </w:rPr>
              <w:t>“</w:t>
            </w:r>
            <w:r w:rsidRPr="00693F81">
              <w:rPr>
                <w:rFonts w:ascii="Times New Roman" w:eastAsia="Times New Roman" w:hAnsi="Times New Roman" w:cs="Times New Roman"/>
                <w:color w:val="000000"/>
                <w:sz w:val="20"/>
                <w:szCs w:val="20"/>
              </w:rPr>
              <w:t>treated</w:t>
            </w:r>
            <w:r>
              <w:rPr>
                <w:rFonts w:ascii="Times New Roman" w:eastAsia="Times New Roman" w:hAnsi="Times New Roman" w:cs="Times New Roman"/>
                <w:color w:val="000000"/>
                <w:sz w:val="20"/>
                <w:szCs w:val="20"/>
              </w:rPr>
              <w:t>”</w:t>
            </w:r>
            <w:r w:rsidRPr="00693F81">
              <w:rPr>
                <w:rFonts w:ascii="Times New Roman" w:eastAsia="Times New Roman" w:hAnsi="Times New Roman" w:cs="Times New Roman"/>
                <w:color w:val="000000"/>
                <w:sz w:val="20"/>
                <w:szCs w:val="20"/>
              </w:rPr>
              <w:t xml:space="preserve"> individuals a </w:t>
            </w:r>
            <w:r>
              <w:rPr>
                <w:rFonts w:ascii="Times New Roman" w:eastAsia="Times New Roman" w:hAnsi="Times New Roman" w:cs="Times New Roman"/>
                <w:color w:val="000000"/>
                <w:sz w:val="20"/>
                <w:szCs w:val="20"/>
              </w:rPr>
              <w:t>random draw from</w:t>
            </w:r>
            <w:r w:rsidRPr="00693F81">
              <w:rPr>
                <w:rFonts w:ascii="Times New Roman" w:eastAsia="Times New Roman" w:hAnsi="Times New Roman" w:cs="Times New Roman"/>
                <w:color w:val="000000"/>
                <w:sz w:val="20"/>
                <w:szCs w:val="20"/>
              </w:rPr>
              <w:t xml:space="preserve"> the earnings distribution of the assigned group (AA or BA). The causal parameter method increases the earnings of the treated by a factor consistent with existing literature</w:t>
            </w:r>
            <w:r>
              <w:rPr>
                <w:rFonts w:ascii="Times New Roman" w:eastAsia="Times New Roman" w:hAnsi="Times New Roman" w:cs="Times New Roman"/>
                <w:color w:val="000000"/>
                <w:sz w:val="20"/>
                <w:szCs w:val="20"/>
              </w:rPr>
              <w:t xml:space="preserve"> (see text)</w:t>
            </w:r>
            <w:r w:rsidRPr="00693F81">
              <w:rPr>
                <w:rFonts w:ascii="Times New Roman" w:eastAsia="Times New Roman" w:hAnsi="Times New Roman" w:cs="Times New Roman"/>
                <w:color w:val="000000"/>
                <w:sz w:val="20"/>
                <w:szCs w:val="20"/>
              </w:rPr>
              <w:t xml:space="preserve">. We include general equilibrium effects </w:t>
            </w:r>
            <w:r>
              <w:rPr>
                <w:rFonts w:ascii="Times New Roman" w:eastAsia="Times New Roman" w:hAnsi="Times New Roman" w:cs="Times New Roman"/>
                <w:color w:val="000000"/>
                <w:sz w:val="20"/>
                <w:szCs w:val="20"/>
              </w:rPr>
              <w:t xml:space="preserve">on wages </w:t>
            </w:r>
            <w:r w:rsidRPr="00693F81">
              <w:rPr>
                <w:rFonts w:ascii="Times New Roman" w:eastAsia="Times New Roman" w:hAnsi="Times New Roman" w:cs="Times New Roman"/>
                <w:color w:val="000000"/>
                <w:sz w:val="20"/>
                <w:szCs w:val="20"/>
              </w:rPr>
              <w:t>in these simulations</w:t>
            </w:r>
            <w:r>
              <w:rPr>
                <w:rFonts w:ascii="Times New Roman" w:eastAsia="Times New Roman" w:hAnsi="Times New Roman" w:cs="Times New Roman"/>
                <w:color w:val="000000"/>
                <w:sz w:val="20"/>
                <w:szCs w:val="20"/>
              </w:rPr>
              <w:t>, as explained in the text</w:t>
            </w:r>
            <w:r w:rsidRPr="00693F81">
              <w:rPr>
                <w:rFonts w:ascii="Times New Roman" w:eastAsia="Times New Roman" w:hAnsi="Times New Roman" w:cs="Times New Roman"/>
                <w:color w:val="000000"/>
                <w:sz w:val="20"/>
                <w:szCs w:val="20"/>
              </w:rPr>
              <w:t>.</w:t>
            </w:r>
          </w:p>
          <w:p w14:paraId="1480086D" w14:textId="77777777" w:rsidR="0018258B" w:rsidRPr="00693F81" w:rsidRDefault="0018258B" w:rsidP="00E244D1">
            <w:pPr>
              <w:spacing w:before="120" w:after="0" w:line="240" w:lineRule="auto"/>
              <w:rPr>
                <w:rFonts w:ascii="Times New Roman" w:eastAsia="Times New Roman" w:hAnsi="Times New Roman" w:cs="Times New Roman"/>
                <w:color w:val="000000"/>
                <w:sz w:val="20"/>
                <w:szCs w:val="20"/>
              </w:rPr>
            </w:pPr>
            <w:r w:rsidRPr="00876B37">
              <w:rPr>
                <w:rFonts w:ascii="Times New Roman" w:eastAsia="Times New Roman" w:hAnsi="Times New Roman" w:cs="Times New Roman"/>
                <w:i/>
                <w:color w:val="000000"/>
                <w:sz w:val="20"/>
                <w:szCs w:val="20"/>
              </w:rPr>
              <w:t>Source</w:t>
            </w:r>
            <w:r w:rsidRPr="00BD761B">
              <w:rPr>
                <w:rFonts w:ascii="Times New Roman" w:eastAsia="Times New Roman" w:hAnsi="Times New Roman" w:cs="Times New Roman"/>
                <w:color w:val="000000"/>
                <w:sz w:val="20"/>
                <w:szCs w:val="20"/>
              </w:rPr>
              <w:t>: Authors’ calculations of</w:t>
            </w:r>
            <w:r>
              <w:rPr>
                <w:rFonts w:ascii="Times New Roman" w:eastAsia="Times New Roman" w:hAnsi="Times New Roman" w:cs="Times New Roman"/>
                <w:color w:val="000000"/>
                <w:sz w:val="20"/>
                <w:szCs w:val="20"/>
              </w:rPr>
              <w:t xml:space="preserve"> March Current Population Survey 1980 and 2019 (Flood et al., 2019).</w:t>
            </w:r>
          </w:p>
        </w:tc>
      </w:tr>
    </w:tbl>
    <w:p w14:paraId="3CE7BC15" w14:textId="77777777" w:rsidR="0018258B" w:rsidRDefault="0018258B">
      <w:r>
        <w:br w:type="page"/>
      </w:r>
    </w:p>
    <w:tbl>
      <w:tblPr>
        <w:tblW w:w="13680" w:type="dxa"/>
        <w:jc w:val="center"/>
        <w:tblLayout w:type="fixed"/>
        <w:tblLook w:val="04A0" w:firstRow="1" w:lastRow="0" w:firstColumn="1" w:lastColumn="0" w:noHBand="0" w:noVBand="1"/>
      </w:tblPr>
      <w:tblGrid>
        <w:gridCol w:w="4354"/>
        <w:gridCol w:w="1249"/>
        <w:gridCol w:w="1249"/>
        <w:gridCol w:w="1249"/>
        <w:gridCol w:w="1249"/>
        <w:gridCol w:w="1249"/>
        <w:gridCol w:w="1249"/>
        <w:gridCol w:w="1832"/>
      </w:tblGrid>
      <w:tr w:rsidR="000F7C00" w:rsidRPr="00811BEE" w14:paraId="38CDD30B" w14:textId="77777777" w:rsidTr="00211FA3">
        <w:trPr>
          <w:trHeight w:val="290"/>
          <w:jc w:val="center"/>
        </w:trPr>
        <w:tc>
          <w:tcPr>
            <w:tcW w:w="13680" w:type="dxa"/>
            <w:gridSpan w:val="8"/>
            <w:tcBorders>
              <w:top w:val="nil"/>
              <w:left w:val="nil"/>
              <w:bottom w:val="single" w:sz="4" w:space="0" w:color="auto"/>
              <w:right w:val="nil"/>
            </w:tcBorders>
            <w:shd w:val="clear" w:color="auto" w:fill="auto"/>
            <w:noWrap/>
            <w:vAlign w:val="bottom"/>
            <w:hideMark/>
          </w:tcPr>
          <w:p w14:paraId="4809BE14" w14:textId="77777777" w:rsidR="000F7C00" w:rsidRPr="00811BEE" w:rsidRDefault="000F7C00" w:rsidP="00211FA3">
            <w:pPr>
              <w:spacing w:after="120" w:line="240" w:lineRule="auto"/>
              <w:rPr>
                <w:rFonts w:ascii="Times New Roman" w:eastAsia="Times New Roman" w:hAnsi="Times New Roman" w:cs="Times New Roman"/>
                <w:b/>
                <w:bCs/>
                <w:color w:val="000000"/>
                <w:sz w:val="24"/>
                <w:szCs w:val="24"/>
              </w:rPr>
            </w:pPr>
            <w:r w:rsidRPr="00811BEE">
              <w:rPr>
                <w:rFonts w:ascii="Times New Roman" w:eastAsia="Times New Roman" w:hAnsi="Times New Roman" w:cs="Times New Roman"/>
                <w:b/>
                <w:bCs/>
                <w:color w:val="000000"/>
                <w:sz w:val="24"/>
                <w:szCs w:val="24"/>
              </w:rPr>
              <w:lastRenderedPageBreak/>
              <w:t>Table 4b: Observed and Simulated Percentile Earnings Ratios: Full-Time, Full-Year Men</w:t>
            </w:r>
          </w:p>
        </w:tc>
      </w:tr>
      <w:tr w:rsidR="000F7C00" w:rsidRPr="00811BEE" w14:paraId="0749CB53" w14:textId="77777777" w:rsidTr="00211FA3">
        <w:trPr>
          <w:trHeight w:val="692"/>
          <w:jc w:val="center"/>
        </w:trPr>
        <w:tc>
          <w:tcPr>
            <w:tcW w:w="4354" w:type="dxa"/>
            <w:tcBorders>
              <w:top w:val="nil"/>
              <w:left w:val="nil"/>
              <w:bottom w:val="single" w:sz="4" w:space="0" w:color="auto"/>
              <w:right w:val="nil"/>
            </w:tcBorders>
            <w:shd w:val="clear" w:color="auto" w:fill="auto"/>
            <w:noWrap/>
            <w:vAlign w:val="bottom"/>
            <w:hideMark/>
          </w:tcPr>
          <w:p w14:paraId="4B26154D" w14:textId="77777777" w:rsidR="000F7C00" w:rsidRPr="00811BEE" w:rsidRDefault="000F7C00" w:rsidP="00211FA3">
            <w:pPr>
              <w:spacing w:after="0" w:line="240" w:lineRule="auto"/>
              <w:rPr>
                <w:rFonts w:ascii="Times New Roman" w:eastAsia="Times New Roman" w:hAnsi="Times New Roman" w:cs="Times New Roman"/>
                <w:b/>
                <w:bCs/>
                <w:color w:val="000000"/>
                <w:sz w:val="24"/>
                <w:szCs w:val="24"/>
              </w:rPr>
            </w:pPr>
            <w:r w:rsidRPr="00811BEE">
              <w:rPr>
                <w:rFonts w:ascii="Times New Roman" w:eastAsia="Times New Roman" w:hAnsi="Times New Roman" w:cs="Times New Roman"/>
                <w:b/>
                <w:bCs/>
                <w:color w:val="000000"/>
                <w:sz w:val="24"/>
                <w:szCs w:val="24"/>
              </w:rPr>
              <w:t> </w:t>
            </w:r>
          </w:p>
        </w:tc>
        <w:tc>
          <w:tcPr>
            <w:tcW w:w="1249" w:type="dxa"/>
            <w:tcBorders>
              <w:top w:val="nil"/>
              <w:left w:val="nil"/>
              <w:bottom w:val="single" w:sz="4" w:space="0" w:color="auto"/>
              <w:right w:val="nil"/>
            </w:tcBorders>
            <w:shd w:val="clear" w:color="auto" w:fill="auto"/>
            <w:noWrap/>
            <w:vAlign w:val="bottom"/>
            <w:hideMark/>
          </w:tcPr>
          <w:p w14:paraId="0F0C0FAE" w14:textId="77777777" w:rsidR="000F7C00" w:rsidRPr="00811BEE" w:rsidRDefault="000F7C00" w:rsidP="00211FA3">
            <w:pPr>
              <w:spacing w:after="0" w:line="240" w:lineRule="auto"/>
              <w:jc w:val="right"/>
              <w:rPr>
                <w:rFonts w:ascii="Times New Roman" w:eastAsia="Times New Roman" w:hAnsi="Times New Roman" w:cs="Times New Roman"/>
                <w:color w:val="000000"/>
                <w:sz w:val="24"/>
                <w:szCs w:val="24"/>
              </w:rPr>
            </w:pPr>
            <w:r w:rsidRPr="00811BEE">
              <w:rPr>
                <w:rFonts w:ascii="Times New Roman" w:eastAsia="Times New Roman" w:hAnsi="Times New Roman" w:cs="Times New Roman"/>
                <w:color w:val="000000"/>
                <w:sz w:val="24"/>
                <w:szCs w:val="24"/>
              </w:rPr>
              <w:t>r50/10</w:t>
            </w:r>
          </w:p>
        </w:tc>
        <w:tc>
          <w:tcPr>
            <w:tcW w:w="1249" w:type="dxa"/>
            <w:tcBorders>
              <w:top w:val="nil"/>
              <w:left w:val="nil"/>
              <w:bottom w:val="single" w:sz="4" w:space="0" w:color="auto"/>
              <w:right w:val="nil"/>
            </w:tcBorders>
            <w:shd w:val="clear" w:color="auto" w:fill="auto"/>
            <w:noWrap/>
            <w:vAlign w:val="bottom"/>
            <w:hideMark/>
          </w:tcPr>
          <w:p w14:paraId="5CC23E7B" w14:textId="77777777" w:rsidR="000F7C00" w:rsidRPr="00811BEE" w:rsidRDefault="000F7C00" w:rsidP="00211FA3">
            <w:pPr>
              <w:spacing w:after="0" w:line="240" w:lineRule="auto"/>
              <w:jc w:val="right"/>
              <w:rPr>
                <w:rFonts w:ascii="Times New Roman" w:eastAsia="Times New Roman" w:hAnsi="Times New Roman" w:cs="Times New Roman"/>
                <w:color w:val="000000"/>
                <w:sz w:val="24"/>
                <w:szCs w:val="24"/>
              </w:rPr>
            </w:pPr>
            <w:r w:rsidRPr="00811BEE">
              <w:rPr>
                <w:rFonts w:ascii="Times New Roman" w:eastAsia="Times New Roman" w:hAnsi="Times New Roman" w:cs="Times New Roman"/>
                <w:color w:val="000000"/>
                <w:sz w:val="24"/>
                <w:szCs w:val="24"/>
              </w:rPr>
              <w:t>r90/10</w:t>
            </w:r>
          </w:p>
        </w:tc>
        <w:tc>
          <w:tcPr>
            <w:tcW w:w="1249" w:type="dxa"/>
            <w:tcBorders>
              <w:top w:val="nil"/>
              <w:left w:val="nil"/>
              <w:bottom w:val="single" w:sz="4" w:space="0" w:color="auto"/>
              <w:right w:val="nil"/>
            </w:tcBorders>
            <w:shd w:val="clear" w:color="auto" w:fill="auto"/>
            <w:noWrap/>
            <w:vAlign w:val="bottom"/>
            <w:hideMark/>
          </w:tcPr>
          <w:p w14:paraId="22E3DE56" w14:textId="77777777" w:rsidR="000F7C00" w:rsidRPr="00811BEE" w:rsidRDefault="000F7C00" w:rsidP="00211FA3">
            <w:pPr>
              <w:spacing w:after="0" w:line="240" w:lineRule="auto"/>
              <w:jc w:val="right"/>
              <w:rPr>
                <w:rFonts w:ascii="Times New Roman" w:eastAsia="Times New Roman" w:hAnsi="Times New Roman" w:cs="Times New Roman"/>
                <w:color w:val="000000"/>
                <w:sz w:val="24"/>
                <w:szCs w:val="24"/>
              </w:rPr>
            </w:pPr>
            <w:r w:rsidRPr="00811BEE">
              <w:rPr>
                <w:rFonts w:ascii="Times New Roman" w:eastAsia="Times New Roman" w:hAnsi="Times New Roman" w:cs="Times New Roman"/>
                <w:color w:val="000000"/>
                <w:sz w:val="24"/>
                <w:szCs w:val="24"/>
              </w:rPr>
              <w:t>r50/25</w:t>
            </w:r>
          </w:p>
        </w:tc>
        <w:tc>
          <w:tcPr>
            <w:tcW w:w="1249" w:type="dxa"/>
            <w:tcBorders>
              <w:top w:val="nil"/>
              <w:left w:val="nil"/>
              <w:bottom w:val="single" w:sz="4" w:space="0" w:color="auto"/>
              <w:right w:val="nil"/>
            </w:tcBorders>
            <w:shd w:val="clear" w:color="auto" w:fill="auto"/>
            <w:noWrap/>
            <w:vAlign w:val="bottom"/>
            <w:hideMark/>
          </w:tcPr>
          <w:p w14:paraId="1AD54111" w14:textId="77777777" w:rsidR="000F7C00" w:rsidRPr="00811BEE" w:rsidRDefault="000F7C00" w:rsidP="00211FA3">
            <w:pPr>
              <w:spacing w:after="0" w:line="240" w:lineRule="auto"/>
              <w:jc w:val="right"/>
              <w:rPr>
                <w:rFonts w:ascii="Times New Roman" w:eastAsia="Times New Roman" w:hAnsi="Times New Roman" w:cs="Times New Roman"/>
                <w:color w:val="000000"/>
                <w:sz w:val="24"/>
                <w:szCs w:val="24"/>
              </w:rPr>
            </w:pPr>
            <w:r w:rsidRPr="00811BEE">
              <w:rPr>
                <w:rFonts w:ascii="Times New Roman" w:eastAsia="Times New Roman" w:hAnsi="Times New Roman" w:cs="Times New Roman"/>
                <w:color w:val="000000"/>
                <w:sz w:val="24"/>
                <w:szCs w:val="24"/>
              </w:rPr>
              <w:t>r90/25</w:t>
            </w:r>
          </w:p>
        </w:tc>
        <w:tc>
          <w:tcPr>
            <w:tcW w:w="1249" w:type="dxa"/>
            <w:tcBorders>
              <w:top w:val="nil"/>
              <w:left w:val="nil"/>
              <w:bottom w:val="single" w:sz="4" w:space="0" w:color="auto"/>
              <w:right w:val="nil"/>
            </w:tcBorders>
            <w:shd w:val="clear" w:color="auto" w:fill="auto"/>
            <w:noWrap/>
            <w:vAlign w:val="bottom"/>
            <w:hideMark/>
          </w:tcPr>
          <w:p w14:paraId="022DE905" w14:textId="77777777" w:rsidR="000F7C00" w:rsidRPr="00811BEE" w:rsidRDefault="000F7C00" w:rsidP="00211FA3">
            <w:pPr>
              <w:spacing w:after="0" w:line="240" w:lineRule="auto"/>
              <w:jc w:val="right"/>
              <w:rPr>
                <w:rFonts w:ascii="Times New Roman" w:eastAsia="Times New Roman" w:hAnsi="Times New Roman" w:cs="Times New Roman"/>
                <w:color w:val="000000"/>
                <w:sz w:val="24"/>
                <w:szCs w:val="24"/>
              </w:rPr>
            </w:pPr>
            <w:r w:rsidRPr="00811BEE">
              <w:rPr>
                <w:rFonts w:ascii="Times New Roman" w:eastAsia="Times New Roman" w:hAnsi="Times New Roman" w:cs="Times New Roman"/>
                <w:color w:val="000000"/>
                <w:sz w:val="24"/>
                <w:szCs w:val="24"/>
              </w:rPr>
              <w:t>r90/50</w:t>
            </w:r>
          </w:p>
        </w:tc>
        <w:tc>
          <w:tcPr>
            <w:tcW w:w="1249" w:type="dxa"/>
            <w:tcBorders>
              <w:top w:val="nil"/>
              <w:left w:val="nil"/>
              <w:bottom w:val="single" w:sz="4" w:space="0" w:color="auto"/>
              <w:right w:val="nil"/>
            </w:tcBorders>
            <w:shd w:val="clear" w:color="auto" w:fill="auto"/>
            <w:noWrap/>
            <w:vAlign w:val="bottom"/>
            <w:hideMark/>
          </w:tcPr>
          <w:p w14:paraId="36510F01" w14:textId="77777777" w:rsidR="000F7C00" w:rsidRPr="00811BEE" w:rsidRDefault="000F7C00" w:rsidP="00211FA3">
            <w:pPr>
              <w:spacing w:after="0" w:line="240" w:lineRule="auto"/>
              <w:jc w:val="right"/>
              <w:rPr>
                <w:rFonts w:ascii="Times New Roman" w:eastAsia="Times New Roman" w:hAnsi="Times New Roman" w:cs="Times New Roman"/>
                <w:color w:val="000000"/>
                <w:sz w:val="24"/>
                <w:szCs w:val="24"/>
              </w:rPr>
            </w:pPr>
            <w:r w:rsidRPr="00811BEE">
              <w:rPr>
                <w:rFonts w:ascii="Times New Roman" w:eastAsia="Times New Roman" w:hAnsi="Times New Roman" w:cs="Times New Roman"/>
                <w:color w:val="000000"/>
                <w:sz w:val="24"/>
                <w:szCs w:val="24"/>
              </w:rPr>
              <w:t>r99/90</w:t>
            </w:r>
          </w:p>
        </w:tc>
        <w:tc>
          <w:tcPr>
            <w:tcW w:w="1832" w:type="dxa"/>
            <w:tcBorders>
              <w:top w:val="nil"/>
              <w:left w:val="nil"/>
              <w:bottom w:val="single" w:sz="4" w:space="0" w:color="auto"/>
              <w:right w:val="nil"/>
            </w:tcBorders>
            <w:shd w:val="clear" w:color="auto" w:fill="auto"/>
            <w:vAlign w:val="bottom"/>
            <w:hideMark/>
          </w:tcPr>
          <w:p w14:paraId="5EB956F5" w14:textId="77777777" w:rsidR="000F7C00" w:rsidRPr="00811BEE" w:rsidRDefault="000F7C00" w:rsidP="00211FA3">
            <w:pPr>
              <w:spacing w:after="0" w:line="240" w:lineRule="auto"/>
              <w:jc w:val="right"/>
              <w:rPr>
                <w:rFonts w:ascii="Times New Roman" w:eastAsia="Times New Roman" w:hAnsi="Times New Roman" w:cs="Times New Roman"/>
                <w:color w:val="000000"/>
                <w:sz w:val="24"/>
                <w:szCs w:val="24"/>
              </w:rPr>
            </w:pPr>
            <w:r w:rsidRPr="00811BEE">
              <w:rPr>
                <w:rFonts w:ascii="Times New Roman" w:eastAsia="Times New Roman" w:hAnsi="Times New Roman" w:cs="Times New Roman"/>
                <w:color w:val="000000"/>
                <w:sz w:val="24"/>
                <w:szCs w:val="24"/>
              </w:rPr>
              <w:t>Gini Coefficient</w:t>
            </w:r>
          </w:p>
        </w:tc>
      </w:tr>
      <w:tr w:rsidR="000F7C00" w:rsidRPr="00811BEE" w14:paraId="7472DDBB" w14:textId="77777777" w:rsidTr="00211FA3">
        <w:trPr>
          <w:trHeight w:val="150"/>
          <w:jc w:val="center"/>
        </w:trPr>
        <w:tc>
          <w:tcPr>
            <w:tcW w:w="4354" w:type="dxa"/>
            <w:tcBorders>
              <w:top w:val="nil"/>
              <w:left w:val="nil"/>
              <w:bottom w:val="nil"/>
              <w:right w:val="nil"/>
            </w:tcBorders>
            <w:shd w:val="clear" w:color="auto" w:fill="auto"/>
            <w:noWrap/>
            <w:vAlign w:val="bottom"/>
            <w:hideMark/>
          </w:tcPr>
          <w:p w14:paraId="3509EC38" w14:textId="77777777" w:rsidR="000F7C00" w:rsidRPr="00811BEE" w:rsidRDefault="000F7C00" w:rsidP="00211FA3">
            <w:pPr>
              <w:spacing w:after="0" w:line="240" w:lineRule="auto"/>
              <w:jc w:val="center"/>
              <w:rPr>
                <w:rFonts w:ascii="Times New Roman" w:eastAsia="Times New Roman" w:hAnsi="Times New Roman" w:cs="Times New Roman"/>
                <w:color w:val="000000"/>
                <w:sz w:val="24"/>
                <w:szCs w:val="24"/>
              </w:rPr>
            </w:pPr>
          </w:p>
        </w:tc>
        <w:tc>
          <w:tcPr>
            <w:tcW w:w="1249" w:type="dxa"/>
            <w:tcBorders>
              <w:top w:val="nil"/>
              <w:left w:val="nil"/>
              <w:bottom w:val="nil"/>
              <w:right w:val="nil"/>
            </w:tcBorders>
            <w:shd w:val="clear" w:color="auto" w:fill="auto"/>
            <w:noWrap/>
            <w:vAlign w:val="bottom"/>
            <w:hideMark/>
          </w:tcPr>
          <w:p w14:paraId="58B7FB9B" w14:textId="77777777" w:rsidR="000F7C00" w:rsidRPr="00811BEE" w:rsidRDefault="000F7C00" w:rsidP="00211FA3">
            <w:pPr>
              <w:spacing w:after="0" w:line="240" w:lineRule="auto"/>
              <w:jc w:val="center"/>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noWrap/>
            <w:vAlign w:val="bottom"/>
            <w:hideMark/>
          </w:tcPr>
          <w:p w14:paraId="253C4C4A" w14:textId="77777777" w:rsidR="000F7C00" w:rsidRPr="00811BEE" w:rsidRDefault="000F7C00" w:rsidP="00211FA3">
            <w:pPr>
              <w:spacing w:after="0" w:line="240" w:lineRule="auto"/>
              <w:jc w:val="center"/>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noWrap/>
            <w:vAlign w:val="bottom"/>
            <w:hideMark/>
          </w:tcPr>
          <w:p w14:paraId="15478AB4" w14:textId="77777777" w:rsidR="000F7C00" w:rsidRPr="00811BEE" w:rsidRDefault="000F7C00" w:rsidP="00211FA3">
            <w:pPr>
              <w:spacing w:after="0" w:line="240" w:lineRule="auto"/>
              <w:jc w:val="center"/>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noWrap/>
            <w:vAlign w:val="bottom"/>
            <w:hideMark/>
          </w:tcPr>
          <w:p w14:paraId="74A0CA5E" w14:textId="77777777" w:rsidR="000F7C00" w:rsidRPr="00811BEE" w:rsidRDefault="000F7C00" w:rsidP="00211FA3">
            <w:pPr>
              <w:spacing w:after="0" w:line="240" w:lineRule="auto"/>
              <w:jc w:val="center"/>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noWrap/>
            <w:vAlign w:val="bottom"/>
            <w:hideMark/>
          </w:tcPr>
          <w:p w14:paraId="57807414" w14:textId="77777777" w:rsidR="000F7C00" w:rsidRPr="00811BEE" w:rsidRDefault="000F7C00" w:rsidP="00211FA3">
            <w:pPr>
              <w:spacing w:after="0" w:line="240" w:lineRule="auto"/>
              <w:jc w:val="center"/>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noWrap/>
            <w:vAlign w:val="bottom"/>
            <w:hideMark/>
          </w:tcPr>
          <w:p w14:paraId="75F20DE3" w14:textId="77777777" w:rsidR="000F7C00" w:rsidRPr="00811BEE" w:rsidRDefault="000F7C00" w:rsidP="00211FA3">
            <w:pPr>
              <w:spacing w:after="0" w:line="240" w:lineRule="auto"/>
              <w:jc w:val="center"/>
              <w:rPr>
                <w:rFonts w:ascii="Times New Roman" w:eastAsia="Times New Roman" w:hAnsi="Times New Roman" w:cs="Times New Roman"/>
                <w:sz w:val="24"/>
                <w:szCs w:val="24"/>
              </w:rPr>
            </w:pPr>
          </w:p>
        </w:tc>
        <w:tc>
          <w:tcPr>
            <w:tcW w:w="1832" w:type="dxa"/>
            <w:tcBorders>
              <w:top w:val="nil"/>
              <w:left w:val="nil"/>
              <w:bottom w:val="nil"/>
              <w:right w:val="nil"/>
            </w:tcBorders>
            <w:shd w:val="clear" w:color="auto" w:fill="auto"/>
            <w:noWrap/>
            <w:vAlign w:val="bottom"/>
            <w:hideMark/>
          </w:tcPr>
          <w:p w14:paraId="620BA982" w14:textId="77777777" w:rsidR="000F7C00" w:rsidRPr="00811BEE" w:rsidRDefault="000F7C00" w:rsidP="00211FA3">
            <w:pPr>
              <w:spacing w:after="0" w:line="240" w:lineRule="auto"/>
              <w:jc w:val="center"/>
              <w:rPr>
                <w:rFonts w:ascii="Times New Roman" w:eastAsia="Times New Roman" w:hAnsi="Times New Roman" w:cs="Times New Roman"/>
                <w:sz w:val="24"/>
                <w:szCs w:val="24"/>
              </w:rPr>
            </w:pPr>
          </w:p>
        </w:tc>
      </w:tr>
      <w:tr w:rsidR="000F7C00" w:rsidRPr="00811BEE" w14:paraId="3E48E37A" w14:textId="77777777" w:rsidTr="00211FA3">
        <w:trPr>
          <w:trHeight w:val="290"/>
          <w:jc w:val="center"/>
        </w:trPr>
        <w:tc>
          <w:tcPr>
            <w:tcW w:w="4354" w:type="dxa"/>
            <w:tcBorders>
              <w:top w:val="nil"/>
              <w:left w:val="nil"/>
              <w:bottom w:val="nil"/>
              <w:right w:val="nil"/>
            </w:tcBorders>
            <w:shd w:val="clear" w:color="auto" w:fill="auto"/>
            <w:noWrap/>
            <w:vAlign w:val="bottom"/>
            <w:hideMark/>
          </w:tcPr>
          <w:p w14:paraId="75B13249" w14:textId="77777777" w:rsidR="000F7C00" w:rsidRPr="00811BEE" w:rsidRDefault="000F7C00" w:rsidP="00211FA3">
            <w:pPr>
              <w:spacing w:after="0" w:line="240" w:lineRule="auto"/>
              <w:rPr>
                <w:rFonts w:ascii="Times New Roman" w:eastAsia="Times New Roman" w:hAnsi="Times New Roman" w:cs="Times New Roman"/>
                <w:color w:val="000000"/>
                <w:sz w:val="24"/>
                <w:szCs w:val="24"/>
              </w:rPr>
            </w:pPr>
            <w:r w:rsidRPr="00811BEE">
              <w:rPr>
                <w:rFonts w:ascii="Times New Roman" w:eastAsia="Times New Roman" w:hAnsi="Times New Roman" w:cs="Times New Roman"/>
                <w:b/>
                <w:color w:val="000000"/>
                <w:sz w:val="24"/>
                <w:szCs w:val="24"/>
              </w:rPr>
              <w:t>Panel A: Observed</w:t>
            </w:r>
          </w:p>
        </w:tc>
        <w:tc>
          <w:tcPr>
            <w:tcW w:w="1249" w:type="dxa"/>
            <w:tcBorders>
              <w:top w:val="nil"/>
              <w:left w:val="nil"/>
              <w:bottom w:val="nil"/>
              <w:right w:val="nil"/>
            </w:tcBorders>
            <w:shd w:val="clear" w:color="auto" w:fill="auto"/>
            <w:noWrap/>
            <w:vAlign w:val="bottom"/>
            <w:hideMark/>
          </w:tcPr>
          <w:p w14:paraId="29E31554" w14:textId="77777777" w:rsidR="000F7C00" w:rsidRPr="00811BEE" w:rsidRDefault="000F7C00" w:rsidP="00211FA3">
            <w:pPr>
              <w:spacing w:after="0" w:line="240" w:lineRule="auto"/>
              <w:rPr>
                <w:rFonts w:ascii="Times New Roman" w:eastAsia="Times New Roman" w:hAnsi="Times New Roman" w:cs="Times New Roman"/>
                <w:color w:val="000000"/>
                <w:sz w:val="24"/>
                <w:szCs w:val="24"/>
              </w:rPr>
            </w:pPr>
          </w:p>
        </w:tc>
        <w:tc>
          <w:tcPr>
            <w:tcW w:w="1249" w:type="dxa"/>
            <w:tcBorders>
              <w:top w:val="nil"/>
              <w:left w:val="nil"/>
              <w:bottom w:val="nil"/>
              <w:right w:val="nil"/>
            </w:tcBorders>
            <w:shd w:val="clear" w:color="auto" w:fill="auto"/>
            <w:noWrap/>
            <w:vAlign w:val="bottom"/>
            <w:hideMark/>
          </w:tcPr>
          <w:p w14:paraId="07B60645" w14:textId="77777777" w:rsidR="000F7C00" w:rsidRPr="00811BEE" w:rsidRDefault="000F7C00" w:rsidP="00211FA3">
            <w:pPr>
              <w:spacing w:after="0" w:line="240" w:lineRule="auto"/>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vAlign w:val="bottom"/>
            <w:hideMark/>
          </w:tcPr>
          <w:p w14:paraId="6D1B34DE" w14:textId="77777777" w:rsidR="000F7C00" w:rsidRPr="00811BEE" w:rsidRDefault="000F7C00" w:rsidP="00211FA3">
            <w:pPr>
              <w:spacing w:after="0" w:line="240" w:lineRule="auto"/>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vAlign w:val="bottom"/>
            <w:hideMark/>
          </w:tcPr>
          <w:p w14:paraId="47C82481" w14:textId="77777777" w:rsidR="000F7C00" w:rsidRPr="00811BEE" w:rsidRDefault="000F7C00" w:rsidP="00211FA3">
            <w:pPr>
              <w:spacing w:after="0" w:line="240" w:lineRule="auto"/>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vAlign w:val="bottom"/>
            <w:hideMark/>
          </w:tcPr>
          <w:p w14:paraId="642D4C71" w14:textId="77777777" w:rsidR="000F7C00" w:rsidRPr="00811BEE" w:rsidRDefault="000F7C00" w:rsidP="00211FA3">
            <w:pPr>
              <w:spacing w:after="0" w:line="240" w:lineRule="auto"/>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vAlign w:val="bottom"/>
            <w:hideMark/>
          </w:tcPr>
          <w:p w14:paraId="38DA7440" w14:textId="77777777" w:rsidR="000F7C00" w:rsidRPr="00811BEE" w:rsidRDefault="000F7C00" w:rsidP="00211FA3">
            <w:pPr>
              <w:spacing w:after="0" w:line="240" w:lineRule="auto"/>
              <w:rPr>
                <w:rFonts w:ascii="Times New Roman" w:eastAsia="Times New Roman" w:hAnsi="Times New Roman" w:cs="Times New Roman"/>
                <w:sz w:val="24"/>
                <w:szCs w:val="24"/>
              </w:rPr>
            </w:pPr>
          </w:p>
        </w:tc>
        <w:tc>
          <w:tcPr>
            <w:tcW w:w="1832" w:type="dxa"/>
            <w:tcBorders>
              <w:top w:val="nil"/>
              <w:left w:val="nil"/>
              <w:bottom w:val="nil"/>
              <w:right w:val="nil"/>
            </w:tcBorders>
            <w:shd w:val="clear" w:color="auto" w:fill="auto"/>
            <w:vAlign w:val="bottom"/>
            <w:hideMark/>
          </w:tcPr>
          <w:p w14:paraId="2FAA95FD" w14:textId="77777777" w:rsidR="000F7C00" w:rsidRPr="00811BEE" w:rsidRDefault="000F7C00" w:rsidP="00211FA3">
            <w:pPr>
              <w:spacing w:after="0" w:line="240" w:lineRule="auto"/>
              <w:rPr>
                <w:rFonts w:ascii="Times New Roman" w:eastAsia="Times New Roman" w:hAnsi="Times New Roman" w:cs="Times New Roman"/>
                <w:sz w:val="24"/>
                <w:szCs w:val="24"/>
              </w:rPr>
            </w:pPr>
          </w:p>
        </w:tc>
      </w:tr>
      <w:tr w:rsidR="000F7C00" w:rsidRPr="00811BEE" w14:paraId="222F7259" w14:textId="77777777" w:rsidTr="00211FA3">
        <w:trPr>
          <w:trHeight w:val="290"/>
          <w:jc w:val="center"/>
        </w:trPr>
        <w:tc>
          <w:tcPr>
            <w:tcW w:w="4354" w:type="dxa"/>
            <w:tcBorders>
              <w:top w:val="nil"/>
              <w:left w:val="nil"/>
              <w:bottom w:val="nil"/>
              <w:right w:val="nil"/>
            </w:tcBorders>
            <w:shd w:val="clear" w:color="auto" w:fill="auto"/>
            <w:noWrap/>
            <w:vAlign w:val="bottom"/>
            <w:hideMark/>
          </w:tcPr>
          <w:p w14:paraId="0D4B8DA0" w14:textId="77777777" w:rsidR="000F7C00" w:rsidRPr="00811BEE" w:rsidRDefault="000F7C00" w:rsidP="00211FA3">
            <w:pPr>
              <w:spacing w:after="0" w:line="240" w:lineRule="auto"/>
              <w:rPr>
                <w:rFonts w:ascii="Times New Roman" w:eastAsia="Times New Roman" w:hAnsi="Times New Roman" w:cs="Times New Roman"/>
                <w:color w:val="000000"/>
                <w:sz w:val="24"/>
                <w:szCs w:val="24"/>
              </w:rPr>
            </w:pPr>
            <w:r w:rsidRPr="00811BEE">
              <w:rPr>
                <w:rFonts w:ascii="Times New Roman" w:eastAsia="Times New Roman" w:hAnsi="Times New Roman" w:cs="Times New Roman"/>
                <w:color w:val="000000"/>
                <w:sz w:val="24"/>
                <w:szCs w:val="24"/>
              </w:rPr>
              <w:t xml:space="preserve">     1979</w:t>
            </w:r>
          </w:p>
        </w:tc>
        <w:tc>
          <w:tcPr>
            <w:tcW w:w="1249" w:type="dxa"/>
            <w:tcBorders>
              <w:top w:val="nil"/>
              <w:left w:val="nil"/>
              <w:bottom w:val="nil"/>
              <w:right w:val="nil"/>
            </w:tcBorders>
            <w:shd w:val="clear" w:color="auto" w:fill="auto"/>
            <w:noWrap/>
            <w:vAlign w:val="bottom"/>
            <w:hideMark/>
          </w:tcPr>
          <w:p w14:paraId="2684DF7C" w14:textId="77777777" w:rsidR="000F7C00" w:rsidRPr="00811BEE" w:rsidRDefault="000F7C00" w:rsidP="00211FA3">
            <w:pPr>
              <w:spacing w:after="0" w:line="240" w:lineRule="auto"/>
              <w:jc w:val="right"/>
              <w:rPr>
                <w:rFonts w:ascii="Times New Roman" w:eastAsia="Times New Roman" w:hAnsi="Times New Roman" w:cs="Times New Roman"/>
                <w:color w:val="000000"/>
                <w:sz w:val="24"/>
                <w:szCs w:val="24"/>
              </w:rPr>
            </w:pPr>
            <w:r w:rsidRPr="00811BEE">
              <w:rPr>
                <w:rFonts w:ascii="Times New Roman" w:eastAsia="Times New Roman" w:hAnsi="Times New Roman" w:cs="Times New Roman"/>
                <w:color w:val="000000"/>
                <w:sz w:val="24"/>
                <w:szCs w:val="24"/>
              </w:rPr>
              <w:t>2.20</w:t>
            </w:r>
          </w:p>
        </w:tc>
        <w:tc>
          <w:tcPr>
            <w:tcW w:w="1249" w:type="dxa"/>
            <w:tcBorders>
              <w:top w:val="nil"/>
              <w:left w:val="nil"/>
              <w:bottom w:val="nil"/>
              <w:right w:val="nil"/>
            </w:tcBorders>
            <w:shd w:val="clear" w:color="auto" w:fill="auto"/>
            <w:noWrap/>
            <w:vAlign w:val="bottom"/>
            <w:hideMark/>
          </w:tcPr>
          <w:p w14:paraId="527E5FE7" w14:textId="77777777" w:rsidR="000F7C00" w:rsidRPr="00811BEE" w:rsidRDefault="000F7C00" w:rsidP="00211FA3">
            <w:pPr>
              <w:spacing w:after="0" w:line="240" w:lineRule="auto"/>
              <w:jc w:val="right"/>
              <w:rPr>
                <w:rFonts w:ascii="Times New Roman" w:eastAsia="Times New Roman" w:hAnsi="Times New Roman" w:cs="Times New Roman"/>
                <w:color w:val="000000"/>
                <w:sz w:val="24"/>
                <w:szCs w:val="24"/>
              </w:rPr>
            </w:pPr>
            <w:r w:rsidRPr="00811BEE">
              <w:rPr>
                <w:rFonts w:ascii="Times New Roman" w:eastAsia="Times New Roman" w:hAnsi="Times New Roman" w:cs="Times New Roman"/>
                <w:color w:val="000000"/>
                <w:sz w:val="24"/>
                <w:szCs w:val="24"/>
              </w:rPr>
              <w:t>3.86</w:t>
            </w:r>
          </w:p>
        </w:tc>
        <w:tc>
          <w:tcPr>
            <w:tcW w:w="1249" w:type="dxa"/>
            <w:tcBorders>
              <w:top w:val="nil"/>
              <w:left w:val="nil"/>
              <w:bottom w:val="nil"/>
              <w:right w:val="nil"/>
            </w:tcBorders>
            <w:shd w:val="clear" w:color="auto" w:fill="auto"/>
            <w:noWrap/>
            <w:vAlign w:val="bottom"/>
            <w:hideMark/>
          </w:tcPr>
          <w:p w14:paraId="5532022D" w14:textId="77777777" w:rsidR="000F7C00" w:rsidRPr="00811BEE" w:rsidRDefault="000F7C00" w:rsidP="00211FA3">
            <w:pPr>
              <w:spacing w:after="0" w:line="240" w:lineRule="auto"/>
              <w:jc w:val="right"/>
              <w:rPr>
                <w:rFonts w:ascii="Times New Roman" w:eastAsia="Times New Roman" w:hAnsi="Times New Roman" w:cs="Times New Roman"/>
                <w:color w:val="000000"/>
                <w:sz w:val="24"/>
                <w:szCs w:val="24"/>
              </w:rPr>
            </w:pPr>
            <w:r w:rsidRPr="00811BEE">
              <w:rPr>
                <w:rFonts w:ascii="Times New Roman" w:eastAsia="Times New Roman" w:hAnsi="Times New Roman" w:cs="Times New Roman"/>
                <w:color w:val="000000"/>
                <w:sz w:val="24"/>
                <w:szCs w:val="24"/>
              </w:rPr>
              <w:t>1.45</w:t>
            </w:r>
          </w:p>
        </w:tc>
        <w:tc>
          <w:tcPr>
            <w:tcW w:w="1249" w:type="dxa"/>
            <w:tcBorders>
              <w:top w:val="nil"/>
              <w:left w:val="nil"/>
              <w:bottom w:val="nil"/>
              <w:right w:val="nil"/>
            </w:tcBorders>
            <w:shd w:val="clear" w:color="auto" w:fill="auto"/>
            <w:noWrap/>
            <w:vAlign w:val="bottom"/>
            <w:hideMark/>
          </w:tcPr>
          <w:p w14:paraId="7A8A4958" w14:textId="77777777" w:rsidR="000F7C00" w:rsidRPr="00811BEE" w:rsidRDefault="000F7C00" w:rsidP="00211FA3">
            <w:pPr>
              <w:spacing w:after="0" w:line="240" w:lineRule="auto"/>
              <w:jc w:val="right"/>
              <w:rPr>
                <w:rFonts w:ascii="Times New Roman" w:eastAsia="Times New Roman" w:hAnsi="Times New Roman" w:cs="Times New Roman"/>
                <w:color w:val="000000"/>
                <w:sz w:val="24"/>
                <w:szCs w:val="24"/>
              </w:rPr>
            </w:pPr>
            <w:r w:rsidRPr="00811BEE">
              <w:rPr>
                <w:rFonts w:ascii="Times New Roman" w:eastAsia="Times New Roman" w:hAnsi="Times New Roman" w:cs="Times New Roman"/>
                <w:color w:val="000000"/>
                <w:sz w:val="24"/>
                <w:szCs w:val="24"/>
              </w:rPr>
              <w:t>2.54</w:t>
            </w:r>
          </w:p>
        </w:tc>
        <w:tc>
          <w:tcPr>
            <w:tcW w:w="1249" w:type="dxa"/>
            <w:tcBorders>
              <w:top w:val="nil"/>
              <w:left w:val="nil"/>
              <w:bottom w:val="nil"/>
              <w:right w:val="nil"/>
            </w:tcBorders>
            <w:shd w:val="clear" w:color="auto" w:fill="auto"/>
            <w:noWrap/>
            <w:vAlign w:val="bottom"/>
            <w:hideMark/>
          </w:tcPr>
          <w:p w14:paraId="262C9C5F" w14:textId="77777777" w:rsidR="000F7C00" w:rsidRPr="00811BEE" w:rsidRDefault="000F7C00" w:rsidP="00211FA3">
            <w:pPr>
              <w:spacing w:after="0" w:line="240" w:lineRule="auto"/>
              <w:jc w:val="right"/>
              <w:rPr>
                <w:rFonts w:ascii="Times New Roman" w:eastAsia="Times New Roman" w:hAnsi="Times New Roman" w:cs="Times New Roman"/>
                <w:color w:val="000000"/>
                <w:sz w:val="24"/>
                <w:szCs w:val="24"/>
              </w:rPr>
            </w:pPr>
            <w:r w:rsidRPr="00811BEE">
              <w:rPr>
                <w:rFonts w:ascii="Times New Roman" w:eastAsia="Times New Roman" w:hAnsi="Times New Roman" w:cs="Times New Roman"/>
                <w:color w:val="000000"/>
                <w:sz w:val="24"/>
                <w:szCs w:val="24"/>
              </w:rPr>
              <w:t>1.75</w:t>
            </w:r>
          </w:p>
        </w:tc>
        <w:tc>
          <w:tcPr>
            <w:tcW w:w="1249" w:type="dxa"/>
            <w:tcBorders>
              <w:top w:val="nil"/>
              <w:left w:val="nil"/>
              <w:bottom w:val="nil"/>
              <w:right w:val="nil"/>
            </w:tcBorders>
            <w:shd w:val="clear" w:color="auto" w:fill="auto"/>
            <w:noWrap/>
            <w:vAlign w:val="bottom"/>
            <w:hideMark/>
          </w:tcPr>
          <w:p w14:paraId="1877B577" w14:textId="73F45A5D" w:rsidR="000F7C00" w:rsidRPr="00811BEE" w:rsidRDefault="00A0006B" w:rsidP="00211FA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2.30</w:t>
            </w:r>
          </w:p>
        </w:tc>
        <w:tc>
          <w:tcPr>
            <w:tcW w:w="1832" w:type="dxa"/>
            <w:tcBorders>
              <w:top w:val="nil"/>
              <w:left w:val="nil"/>
              <w:bottom w:val="nil"/>
              <w:right w:val="nil"/>
            </w:tcBorders>
            <w:shd w:val="clear" w:color="auto" w:fill="auto"/>
            <w:noWrap/>
            <w:vAlign w:val="bottom"/>
            <w:hideMark/>
          </w:tcPr>
          <w:p w14:paraId="43795E9C" w14:textId="77777777" w:rsidR="000F7C00" w:rsidRPr="00811BEE" w:rsidRDefault="000F7C00" w:rsidP="00211FA3">
            <w:pPr>
              <w:spacing w:after="0" w:line="240" w:lineRule="auto"/>
              <w:jc w:val="center"/>
              <w:rPr>
                <w:rFonts w:ascii="Times New Roman" w:eastAsia="Times New Roman" w:hAnsi="Times New Roman" w:cs="Times New Roman"/>
                <w:color w:val="000000"/>
                <w:sz w:val="24"/>
                <w:szCs w:val="24"/>
              </w:rPr>
            </w:pPr>
            <w:r w:rsidRPr="00811BEE">
              <w:rPr>
                <w:rFonts w:ascii="Times New Roman" w:eastAsia="Times New Roman" w:hAnsi="Times New Roman" w:cs="Times New Roman"/>
                <w:color w:val="000000"/>
                <w:sz w:val="24"/>
                <w:szCs w:val="24"/>
              </w:rPr>
              <w:t>0.310</w:t>
            </w:r>
          </w:p>
        </w:tc>
      </w:tr>
      <w:tr w:rsidR="000F7C00" w:rsidRPr="00811BEE" w14:paraId="78109F8C" w14:textId="77777777" w:rsidTr="00211FA3">
        <w:trPr>
          <w:trHeight w:val="290"/>
          <w:jc w:val="center"/>
        </w:trPr>
        <w:tc>
          <w:tcPr>
            <w:tcW w:w="4354" w:type="dxa"/>
            <w:tcBorders>
              <w:top w:val="nil"/>
              <w:left w:val="nil"/>
              <w:bottom w:val="nil"/>
              <w:right w:val="nil"/>
            </w:tcBorders>
            <w:shd w:val="clear" w:color="auto" w:fill="auto"/>
            <w:noWrap/>
            <w:vAlign w:val="bottom"/>
            <w:hideMark/>
          </w:tcPr>
          <w:p w14:paraId="1142747C" w14:textId="77777777" w:rsidR="000F7C00" w:rsidRPr="00811BEE" w:rsidRDefault="000F7C00" w:rsidP="00211FA3">
            <w:pPr>
              <w:spacing w:after="0" w:line="240" w:lineRule="auto"/>
              <w:rPr>
                <w:rFonts w:ascii="Times New Roman" w:eastAsia="Times New Roman" w:hAnsi="Times New Roman" w:cs="Times New Roman"/>
                <w:color w:val="000000"/>
                <w:sz w:val="24"/>
                <w:szCs w:val="24"/>
              </w:rPr>
            </w:pPr>
            <w:r w:rsidRPr="00811BEE">
              <w:rPr>
                <w:rFonts w:ascii="Times New Roman" w:eastAsia="Times New Roman" w:hAnsi="Times New Roman" w:cs="Times New Roman"/>
                <w:color w:val="000000"/>
                <w:sz w:val="24"/>
                <w:szCs w:val="24"/>
              </w:rPr>
              <w:t xml:space="preserve">     2018</w:t>
            </w:r>
          </w:p>
        </w:tc>
        <w:tc>
          <w:tcPr>
            <w:tcW w:w="1249" w:type="dxa"/>
            <w:tcBorders>
              <w:top w:val="nil"/>
              <w:left w:val="nil"/>
              <w:bottom w:val="nil"/>
              <w:right w:val="nil"/>
            </w:tcBorders>
            <w:shd w:val="clear" w:color="auto" w:fill="auto"/>
            <w:noWrap/>
            <w:vAlign w:val="bottom"/>
            <w:hideMark/>
          </w:tcPr>
          <w:p w14:paraId="3D7B7CB5" w14:textId="77777777" w:rsidR="000F7C00" w:rsidRPr="00811BEE" w:rsidRDefault="000F7C00" w:rsidP="00211FA3">
            <w:pPr>
              <w:spacing w:after="0" w:line="240" w:lineRule="auto"/>
              <w:jc w:val="right"/>
              <w:rPr>
                <w:rFonts w:ascii="Times New Roman" w:eastAsia="Times New Roman" w:hAnsi="Times New Roman" w:cs="Times New Roman"/>
                <w:color w:val="000000"/>
                <w:sz w:val="24"/>
                <w:szCs w:val="24"/>
              </w:rPr>
            </w:pPr>
            <w:r w:rsidRPr="00811BEE">
              <w:rPr>
                <w:rFonts w:ascii="Times New Roman" w:eastAsia="Times New Roman" w:hAnsi="Times New Roman" w:cs="Times New Roman"/>
                <w:color w:val="000000"/>
                <w:sz w:val="24"/>
                <w:szCs w:val="24"/>
              </w:rPr>
              <w:t>2.29</w:t>
            </w:r>
          </w:p>
        </w:tc>
        <w:tc>
          <w:tcPr>
            <w:tcW w:w="1249" w:type="dxa"/>
            <w:tcBorders>
              <w:top w:val="nil"/>
              <w:left w:val="nil"/>
              <w:bottom w:val="nil"/>
              <w:right w:val="nil"/>
            </w:tcBorders>
            <w:shd w:val="clear" w:color="auto" w:fill="auto"/>
            <w:noWrap/>
            <w:vAlign w:val="bottom"/>
            <w:hideMark/>
          </w:tcPr>
          <w:p w14:paraId="456C066B" w14:textId="77777777" w:rsidR="000F7C00" w:rsidRPr="00811BEE" w:rsidRDefault="000F7C00" w:rsidP="00211FA3">
            <w:pPr>
              <w:spacing w:after="0" w:line="240" w:lineRule="auto"/>
              <w:jc w:val="right"/>
              <w:rPr>
                <w:rFonts w:ascii="Times New Roman" w:eastAsia="Times New Roman" w:hAnsi="Times New Roman" w:cs="Times New Roman"/>
                <w:color w:val="000000"/>
                <w:sz w:val="24"/>
                <w:szCs w:val="24"/>
              </w:rPr>
            </w:pPr>
            <w:r w:rsidRPr="00811BEE">
              <w:rPr>
                <w:rFonts w:ascii="Times New Roman" w:eastAsia="Times New Roman" w:hAnsi="Times New Roman" w:cs="Times New Roman"/>
                <w:color w:val="000000"/>
                <w:sz w:val="24"/>
                <w:szCs w:val="24"/>
              </w:rPr>
              <w:t>5.58</w:t>
            </w:r>
          </w:p>
        </w:tc>
        <w:tc>
          <w:tcPr>
            <w:tcW w:w="1249" w:type="dxa"/>
            <w:tcBorders>
              <w:top w:val="nil"/>
              <w:left w:val="nil"/>
              <w:bottom w:val="nil"/>
              <w:right w:val="nil"/>
            </w:tcBorders>
            <w:shd w:val="clear" w:color="auto" w:fill="auto"/>
            <w:noWrap/>
            <w:vAlign w:val="bottom"/>
            <w:hideMark/>
          </w:tcPr>
          <w:p w14:paraId="5C3F0877" w14:textId="77777777" w:rsidR="000F7C00" w:rsidRPr="00811BEE" w:rsidRDefault="000F7C00" w:rsidP="00211FA3">
            <w:pPr>
              <w:spacing w:after="0" w:line="240" w:lineRule="auto"/>
              <w:jc w:val="right"/>
              <w:rPr>
                <w:rFonts w:ascii="Times New Roman" w:eastAsia="Times New Roman" w:hAnsi="Times New Roman" w:cs="Times New Roman"/>
                <w:color w:val="000000"/>
                <w:sz w:val="24"/>
                <w:szCs w:val="24"/>
              </w:rPr>
            </w:pPr>
            <w:r w:rsidRPr="00811BEE">
              <w:rPr>
                <w:rFonts w:ascii="Times New Roman" w:eastAsia="Times New Roman" w:hAnsi="Times New Roman" w:cs="Times New Roman"/>
                <w:color w:val="000000"/>
                <w:sz w:val="24"/>
                <w:szCs w:val="24"/>
              </w:rPr>
              <w:t>1.57</w:t>
            </w:r>
          </w:p>
        </w:tc>
        <w:tc>
          <w:tcPr>
            <w:tcW w:w="1249" w:type="dxa"/>
            <w:tcBorders>
              <w:top w:val="nil"/>
              <w:left w:val="nil"/>
              <w:bottom w:val="nil"/>
              <w:right w:val="nil"/>
            </w:tcBorders>
            <w:shd w:val="clear" w:color="auto" w:fill="auto"/>
            <w:noWrap/>
            <w:vAlign w:val="bottom"/>
            <w:hideMark/>
          </w:tcPr>
          <w:p w14:paraId="7934B603" w14:textId="77777777" w:rsidR="000F7C00" w:rsidRPr="00811BEE" w:rsidRDefault="000F7C00" w:rsidP="00211FA3">
            <w:pPr>
              <w:spacing w:after="0" w:line="240" w:lineRule="auto"/>
              <w:jc w:val="right"/>
              <w:rPr>
                <w:rFonts w:ascii="Times New Roman" w:eastAsia="Times New Roman" w:hAnsi="Times New Roman" w:cs="Times New Roman"/>
                <w:color w:val="000000"/>
                <w:sz w:val="24"/>
                <w:szCs w:val="24"/>
              </w:rPr>
            </w:pPr>
            <w:r w:rsidRPr="00811BEE">
              <w:rPr>
                <w:rFonts w:ascii="Times New Roman" w:eastAsia="Times New Roman" w:hAnsi="Times New Roman" w:cs="Times New Roman"/>
                <w:color w:val="000000"/>
                <w:sz w:val="24"/>
                <w:szCs w:val="24"/>
              </w:rPr>
              <w:t>3.83</w:t>
            </w:r>
          </w:p>
        </w:tc>
        <w:tc>
          <w:tcPr>
            <w:tcW w:w="1249" w:type="dxa"/>
            <w:tcBorders>
              <w:top w:val="nil"/>
              <w:left w:val="nil"/>
              <w:bottom w:val="nil"/>
              <w:right w:val="nil"/>
            </w:tcBorders>
            <w:shd w:val="clear" w:color="auto" w:fill="auto"/>
            <w:noWrap/>
            <w:vAlign w:val="bottom"/>
            <w:hideMark/>
          </w:tcPr>
          <w:p w14:paraId="763789CC" w14:textId="77777777" w:rsidR="000F7C00" w:rsidRPr="00811BEE" w:rsidRDefault="000F7C00" w:rsidP="00211FA3">
            <w:pPr>
              <w:spacing w:after="0" w:line="240" w:lineRule="auto"/>
              <w:jc w:val="right"/>
              <w:rPr>
                <w:rFonts w:ascii="Times New Roman" w:eastAsia="Times New Roman" w:hAnsi="Times New Roman" w:cs="Times New Roman"/>
                <w:color w:val="000000"/>
                <w:sz w:val="24"/>
                <w:szCs w:val="24"/>
              </w:rPr>
            </w:pPr>
            <w:r w:rsidRPr="00811BEE">
              <w:rPr>
                <w:rFonts w:ascii="Times New Roman" w:eastAsia="Times New Roman" w:hAnsi="Times New Roman" w:cs="Times New Roman"/>
                <w:color w:val="000000"/>
                <w:sz w:val="24"/>
                <w:szCs w:val="24"/>
              </w:rPr>
              <w:t>2.44</w:t>
            </w:r>
          </w:p>
        </w:tc>
        <w:tc>
          <w:tcPr>
            <w:tcW w:w="1249" w:type="dxa"/>
            <w:tcBorders>
              <w:top w:val="nil"/>
              <w:left w:val="nil"/>
              <w:bottom w:val="nil"/>
              <w:right w:val="nil"/>
            </w:tcBorders>
            <w:shd w:val="clear" w:color="auto" w:fill="auto"/>
            <w:noWrap/>
            <w:vAlign w:val="bottom"/>
            <w:hideMark/>
          </w:tcPr>
          <w:p w14:paraId="4BAE48ED" w14:textId="77777777" w:rsidR="000F7C00" w:rsidRPr="00811BEE" w:rsidRDefault="000F7C00" w:rsidP="00211FA3">
            <w:pPr>
              <w:spacing w:after="0" w:line="240" w:lineRule="auto"/>
              <w:jc w:val="right"/>
              <w:rPr>
                <w:rFonts w:ascii="Times New Roman" w:eastAsia="Times New Roman" w:hAnsi="Times New Roman" w:cs="Times New Roman"/>
                <w:color w:val="000000"/>
                <w:sz w:val="24"/>
                <w:szCs w:val="24"/>
              </w:rPr>
            </w:pPr>
            <w:r w:rsidRPr="00811BEE">
              <w:rPr>
                <w:rFonts w:ascii="Times New Roman" w:eastAsia="Times New Roman" w:hAnsi="Times New Roman" w:cs="Times New Roman"/>
                <w:color w:val="000000"/>
                <w:sz w:val="24"/>
                <w:szCs w:val="24"/>
              </w:rPr>
              <w:t>2.99</w:t>
            </w:r>
          </w:p>
        </w:tc>
        <w:tc>
          <w:tcPr>
            <w:tcW w:w="1832" w:type="dxa"/>
            <w:tcBorders>
              <w:top w:val="nil"/>
              <w:left w:val="nil"/>
              <w:bottom w:val="nil"/>
              <w:right w:val="nil"/>
            </w:tcBorders>
            <w:shd w:val="clear" w:color="auto" w:fill="auto"/>
            <w:noWrap/>
            <w:vAlign w:val="bottom"/>
            <w:hideMark/>
          </w:tcPr>
          <w:p w14:paraId="783082A3" w14:textId="77777777" w:rsidR="000F7C00" w:rsidRPr="00811BEE" w:rsidRDefault="000F7C00" w:rsidP="00211FA3">
            <w:pPr>
              <w:spacing w:after="0" w:line="240" w:lineRule="auto"/>
              <w:jc w:val="center"/>
              <w:rPr>
                <w:rFonts w:ascii="Times New Roman" w:eastAsia="Times New Roman" w:hAnsi="Times New Roman" w:cs="Times New Roman"/>
                <w:color w:val="000000"/>
                <w:sz w:val="24"/>
                <w:szCs w:val="24"/>
              </w:rPr>
            </w:pPr>
            <w:r w:rsidRPr="00811BEE">
              <w:rPr>
                <w:rFonts w:ascii="Times New Roman" w:eastAsia="Times New Roman" w:hAnsi="Times New Roman" w:cs="Times New Roman"/>
                <w:color w:val="000000"/>
                <w:sz w:val="24"/>
                <w:szCs w:val="24"/>
              </w:rPr>
              <w:t>0.409</w:t>
            </w:r>
          </w:p>
        </w:tc>
      </w:tr>
      <w:tr w:rsidR="000F7C00" w:rsidRPr="00811BEE" w14:paraId="0D233687" w14:textId="77777777" w:rsidTr="00211FA3">
        <w:trPr>
          <w:trHeight w:val="90"/>
          <w:jc w:val="center"/>
        </w:trPr>
        <w:tc>
          <w:tcPr>
            <w:tcW w:w="4354" w:type="dxa"/>
            <w:tcBorders>
              <w:top w:val="nil"/>
              <w:left w:val="nil"/>
              <w:bottom w:val="nil"/>
              <w:right w:val="nil"/>
            </w:tcBorders>
            <w:shd w:val="clear" w:color="auto" w:fill="auto"/>
            <w:noWrap/>
            <w:vAlign w:val="bottom"/>
            <w:hideMark/>
          </w:tcPr>
          <w:p w14:paraId="30C5B346" w14:textId="77777777" w:rsidR="000F7C00" w:rsidRPr="00811BEE" w:rsidRDefault="000F7C00" w:rsidP="00211FA3">
            <w:pPr>
              <w:spacing w:after="0" w:line="240" w:lineRule="auto"/>
              <w:jc w:val="right"/>
              <w:rPr>
                <w:rFonts w:ascii="Times New Roman" w:eastAsia="Times New Roman" w:hAnsi="Times New Roman" w:cs="Times New Roman"/>
                <w:color w:val="000000"/>
                <w:sz w:val="24"/>
                <w:szCs w:val="24"/>
              </w:rPr>
            </w:pPr>
          </w:p>
        </w:tc>
        <w:tc>
          <w:tcPr>
            <w:tcW w:w="1249" w:type="dxa"/>
            <w:tcBorders>
              <w:top w:val="nil"/>
              <w:left w:val="nil"/>
              <w:bottom w:val="nil"/>
              <w:right w:val="nil"/>
            </w:tcBorders>
            <w:shd w:val="clear" w:color="auto" w:fill="auto"/>
            <w:noWrap/>
            <w:vAlign w:val="bottom"/>
            <w:hideMark/>
          </w:tcPr>
          <w:p w14:paraId="2B7B502F" w14:textId="77777777" w:rsidR="000F7C00" w:rsidRPr="00811BEE" w:rsidRDefault="000F7C00" w:rsidP="00211FA3">
            <w:pPr>
              <w:spacing w:after="0" w:line="240" w:lineRule="auto"/>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noWrap/>
            <w:vAlign w:val="bottom"/>
            <w:hideMark/>
          </w:tcPr>
          <w:p w14:paraId="34BFE70D" w14:textId="77777777" w:rsidR="000F7C00" w:rsidRPr="00811BEE" w:rsidRDefault="000F7C00" w:rsidP="00211FA3">
            <w:pPr>
              <w:spacing w:after="0" w:line="240" w:lineRule="auto"/>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noWrap/>
            <w:vAlign w:val="bottom"/>
            <w:hideMark/>
          </w:tcPr>
          <w:p w14:paraId="410FBE9B" w14:textId="77777777" w:rsidR="000F7C00" w:rsidRPr="00811BEE" w:rsidRDefault="000F7C00" w:rsidP="00211FA3">
            <w:pPr>
              <w:spacing w:after="0" w:line="240" w:lineRule="auto"/>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noWrap/>
            <w:vAlign w:val="bottom"/>
            <w:hideMark/>
          </w:tcPr>
          <w:p w14:paraId="141014D5" w14:textId="77777777" w:rsidR="000F7C00" w:rsidRPr="00811BEE" w:rsidRDefault="000F7C00" w:rsidP="00211FA3">
            <w:pPr>
              <w:spacing w:after="0" w:line="240" w:lineRule="auto"/>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noWrap/>
            <w:vAlign w:val="bottom"/>
            <w:hideMark/>
          </w:tcPr>
          <w:p w14:paraId="47FBDEA9" w14:textId="77777777" w:rsidR="000F7C00" w:rsidRPr="00811BEE" w:rsidRDefault="000F7C00" w:rsidP="00211FA3">
            <w:pPr>
              <w:spacing w:after="0" w:line="240" w:lineRule="auto"/>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noWrap/>
            <w:vAlign w:val="bottom"/>
            <w:hideMark/>
          </w:tcPr>
          <w:p w14:paraId="2499C47A" w14:textId="77777777" w:rsidR="000F7C00" w:rsidRPr="00811BEE" w:rsidRDefault="000F7C00" w:rsidP="00211FA3">
            <w:pPr>
              <w:spacing w:after="0" w:line="240" w:lineRule="auto"/>
              <w:rPr>
                <w:rFonts w:ascii="Times New Roman" w:eastAsia="Times New Roman" w:hAnsi="Times New Roman" w:cs="Times New Roman"/>
                <w:sz w:val="24"/>
                <w:szCs w:val="24"/>
              </w:rPr>
            </w:pPr>
          </w:p>
        </w:tc>
        <w:tc>
          <w:tcPr>
            <w:tcW w:w="1832" w:type="dxa"/>
            <w:tcBorders>
              <w:top w:val="nil"/>
              <w:left w:val="nil"/>
              <w:bottom w:val="nil"/>
              <w:right w:val="nil"/>
            </w:tcBorders>
            <w:shd w:val="clear" w:color="auto" w:fill="auto"/>
            <w:noWrap/>
            <w:vAlign w:val="bottom"/>
            <w:hideMark/>
          </w:tcPr>
          <w:p w14:paraId="3A132FF2" w14:textId="77777777" w:rsidR="000F7C00" w:rsidRPr="00811BEE" w:rsidRDefault="000F7C00" w:rsidP="00211FA3">
            <w:pPr>
              <w:spacing w:after="0" w:line="240" w:lineRule="auto"/>
              <w:jc w:val="center"/>
              <w:rPr>
                <w:rFonts w:ascii="Times New Roman" w:eastAsia="Times New Roman" w:hAnsi="Times New Roman" w:cs="Times New Roman"/>
                <w:sz w:val="24"/>
                <w:szCs w:val="24"/>
              </w:rPr>
            </w:pPr>
          </w:p>
        </w:tc>
      </w:tr>
      <w:tr w:rsidR="000F7C00" w:rsidRPr="00811BEE" w14:paraId="30CD7E6E" w14:textId="77777777" w:rsidTr="00211FA3">
        <w:trPr>
          <w:trHeight w:val="576"/>
          <w:jc w:val="center"/>
        </w:trPr>
        <w:tc>
          <w:tcPr>
            <w:tcW w:w="4354" w:type="dxa"/>
            <w:tcBorders>
              <w:top w:val="nil"/>
              <w:left w:val="nil"/>
              <w:bottom w:val="nil"/>
              <w:right w:val="nil"/>
            </w:tcBorders>
            <w:shd w:val="clear" w:color="auto" w:fill="auto"/>
            <w:noWrap/>
            <w:vAlign w:val="bottom"/>
            <w:hideMark/>
          </w:tcPr>
          <w:p w14:paraId="1AEF83D4" w14:textId="77777777" w:rsidR="000F7C00" w:rsidRPr="00811BEE" w:rsidRDefault="000F7C00" w:rsidP="00211FA3">
            <w:pPr>
              <w:spacing w:after="0" w:line="240" w:lineRule="auto"/>
              <w:rPr>
                <w:rFonts w:ascii="Times New Roman" w:eastAsia="Times New Roman" w:hAnsi="Times New Roman" w:cs="Times New Roman"/>
                <w:color w:val="000000"/>
                <w:sz w:val="24"/>
                <w:szCs w:val="24"/>
              </w:rPr>
            </w:pPr>
            <w:r w:rsidRPr="00811BEE">
              <w:rPr>
                <w:rFonts w:ascii="Times New Roman" w:eastAsia="Times New Roman" w:hAnsi="Times New Roman" w:cs="Times New Roman"/>
                <w:b/>
                <w:color w:val="000000"/>
                <w:sz w:val="24"/>
                <w:szCs w:val="24"/>
              </w:rPr>
              <w:t>Panel B: 2018 Simulations</w:t>
            </w:r>
          </w:p>
        </w:tc>
        <w:tc>
          <w:tcPr>
            <w:tcW w:w="1249" w:type="dxa"/>
            <w:tcBorders>
              <w:top w:val="nil"/>
              <w:left w:val="nil"/>
              <w:bottom w:val="nil"/>
              <w:right w:val="nil"/>
            </w:tcBorders>
            <w:shd w:val="clear" w:color="auto" w:fill="auto"/>
            <w:noWrap/>
            <w:vAlign w:val="bottom"/>
            <w:hideMark/>
          </w:tcPr>
          <w:p w14:paraId="71A12AFD" w14:textId="77777777" w:rsidR="000F7C00" w:rsidRPr="00811BEE" w:rsidRDefault="000F7C00" w:rsidP="00211FA3">
            <w:pPr>
              <w:spacing w:after="0" w:line="240" w:lineRule="auto"/>
              <w:rPr>
                <w:rFonts w:ascii="Times New Roman" w:eastAsia="Times New Roman" w:hAnsi="Times New Roman" w:cs="Times New Roman"/>
                <w:color w:val="000000"/>
                <w:sz w:val="24"/>
                <w:szCs w:val="24"/>
              </w:rPr>
            </w:pPr>
          </w:p>
        </w:tc>
        <w:tc>
          <w:tcPr>
            <w:tcW w:w="1249" w:type="dxa"/>
            <w:tcBorders>
              <w:top w:val="nil"/>
              <w:left w:val="nil"/>
              <w:bottom w:val="nil"/>
              <w:right w:val="nil"/>
            </w:tcBorders>
            <w:shd w:val="clear" w:color="auto" w:fill="auto"/>
            <w:noWrap/>
            <w:vAlign w:val="bottom"/>
            <w:hideMark/>
          </w:tcPr>
          <w:p w14:paraId="4EFB16FB" w14:textId="77777777" w:rsidR="000F7C00" w:rsidRPr="00811BEE" w:rsidRDefault="000F7C00" w:rsidP="00211FA3">
            <w:pPr>
              <w:spacing w:after="0" w:line="240" w:lineRule="auto"/>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noWrap/>
            <w:vAlign w:val="bottom"/>
            <w:hideMark/>
          </w:tcPr>
          <w:p w14:paraId="11AD8AC1" w14:textId="77777777" w:rsidR="000F7C00" w:rsidRPr="00811BEE" w:rsidRDefault="000F7C00" w:rsidP="00211FA3">
            <w:pPr>
              <w:spacing w:after="0" w:line="240" w:lineRule="auto"/>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noWrap/>
            <w:vAlign w:val="bottom"/>
            <w:hideMark/>
          </w:tcPr>
          <w:p w14:paraId="49B0D359" w14:textId="77777777" w:rsidR="000F7C00" w:rsidRPr="00811BEE" w:rsidRDefault="000F7C00" w:rsidP="00211FA3">
            <w:pPr>
              <w:spacing w:after="0" w:line="240" w:lineRule="auto"/>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noWrap/>
            <w:vAlign w:val="bottom"/>
            <w:hideMark/>
          </w:tcPr>
          <w:p w14:paraId="1FA8D0E1" w14:textId="77777777" w:rsidR="000F7C00" w:rsidRPr="00811BEE" w:rsidRDefault="000F7C00" w:rsidP="00211FA3">
            <w:pPr>
              <w:spacing w:after="0" w:line="240" w:lineRule="auto"/>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noWrap/>
            <w:vAlign w:val="bottom"/>
            <w:hideMark/>
          </w:tcPr>
          <w:p w14:paraId="2A620F85" w14:textId="77777777" w:rsidR="000F7C00" w:rsidRPr="00811BEE" w:rsidRDefault="000F7C00" w:rsidP="00211FA3">
            <w:pPr>
              <w:spacing w:after="0" w:line="240" w:lineRule="auto"/>
              <w:rPr>
                <w:rFonts w:ascii="Times New Roman" w:eastAsia="Times New Roman" w:hAnsi="Times New Roman" w:cs="Times New Roman"/>
                <w:sz w:val="24"/>
                <w:szCs w:val="24"/>
              </w:rPr>
            </w:pPr>
          </w:p>
        </w:tc>
        <w:tc>
          <w:tcPr>
            <w:tcW w:w="1832" w:type="dxa"/>
            <w:tcBorders>
              <w:top w:val="nil"/>
              <w:left w:val="nil"/>
              <w:bottom w:val="nil"/>
              <w:right w:val="nil"/>
            </w:tcBorders>
            <w:shd w:val="clear" w:color="auto" w:fill="auto"/>
            <w:noWrap/>
            <w:vAlign w:val="bottom"/>
            <w:hideMark/>
          </w:tcPr>
          <w:p w14:paraId="0EFA3B9C" w14:textId="77777777" w:rsidR="000F7C00" w:rsidRPr="00811BEE" w:rsidRDefault="000F7C00" w:rsidP="00211FA3">
            <w:pPr>
              <w:spacing w:after="0" w:line="240" w:lineRule="auto"/>
              <w:jc w:val="center"/>
              <w:rPr>
                <w:rFonts w:ascii="Times New Roman" w:eastAsia="Times New Roman" w:hAnsi="Times New Roman" w:cs="Times New Roman"/>
                <w:sz w:val="24"/>
                <w:szCs w:val="24"/>
              </w:rPr>
            </w:pPr>
          </w:p>
        </w:tc>
      </w:tr>
      <w:tr w:rsidR="000F7C00" w:rsidRPr="00811BEE" w14:paraId="06ED7037" w14:textId="77777777" w:rsidTr="00211FA3">
        <w:trPr>
          <w:trHeight w:val="290"/>
          <w:jc w:val="center"/>
        </w:trPr>
        <w:tc>
          <w:tcPr>
            <w:tcW w:w="4354" w:type="dxa"/>
            <w:tcBorders>
              <w:top w:val="nil"/>
              <w:left w:val="nil"/>
              <w:bottom w:val="nil"/>
              <w:right w:val="nil"/>
            </w:tcBorders>
            <w:shd w:val="clear" w:color="auto" w:fill="auto"/>
            <w:noWrap/>
            <w:vAlign w:val="bottom"/>
            <w:hideMark/>
          </w:tcPr>
          <w:p w14:paraId="5678029F" w14:textId="77777777" w:rsidR="000F7C00" w:rsidRPr="00811BEE" w:rsidRDefault="000F7C00" w:rsidP="00211FA3">
            <w:pPr>
              <w:spacing w:after="0" w:line="240" w:lineRule="auto"/>
              <w:rPr>
                <w:rFonts w:ascii="Times New Roman" w:eastAsia="Times New Roman" w:hAnsi="Times New Roman" w:cs="Times New Roman"/>
                <w:i/>
                <w:color w:val="000000"/>
                <w:sz w:val="24"/>
                <w:szCs w:val="24"/>
              </w:rPr>
            </w:pPr>
            <w:r w:rsidRPr="00811BEE">
              <w:rPr>
                <w:rFonts w:ascii="Times New Roman" w:eastAsia="Times New Roman" w:hAnsi="Times New Roman" w:cs="Times New Roman"/>
                <w:color w:val="000000"/>
                <w:sz w:val="24"/>
                <w:szCs w:val="24"/>
              </w:rPr>
              <w:t xml:space="preserve">     </w:t>
            </w:r>
            <w:r w:rsidRPr="00811BEE">
              <w:rPr>
                <w:rFonts w:ascii="Times New Roman" w:eastAsia="Times New Roman" w:hAnsi="Times New Roman" w:cs="Times New Roman"/>
                <w:i/>
                <w:color w:val="000000"/>
                <w:sz w:val="24"/>
                <w:szCs w:val="24"/>
              </w:rPr>
              <w:t>Distribution Method</w:t>
            </w:r>
          </w:p>
        </w:tc>
        <w:tc>
          <w:tcPr>
            <w:tcW w:w="1249" w:type="dxa"/>
            <w:tcBorders>
              <w:top w:val="nil"/>
              <w:left w:val="nil"/>
              <w:bottom w:val="nil"/>
              <w:right w:val="nil"/>
            </w:tcBorders>
            <w:shd w:val="clear" w:color="auto" w:fill="auto"/>
            <w:noWrap/>
            <w:vAlign w:val="bottom"/>
            <w:hideMark/>
          </w:tcPr>
          <w:p w14:paraId="55098499" w14:textId="77777777" w:rsidR="000F7C00" w:rsidRPr="00811BEE" w:rsidRDefault="000F7C00" w:rsidP="00211FA3">
            <w:pPr>
              <w:spacing w:after="0" w:line="240" w:lineRule="auto"/>
              <w:rPr>
                <w:rFonts w:ascii="Times New Roman" w:eastAsia="Times New Roman" w:hAnsi="Times New Roman" w:cs="Times New Roman"/>
                <w:color w:val="000000"/>
                <w:sz w:val="24"/>
                <w:szCs w:val="24"/>
              </w:rPr>
            </w:pPr>
          </w:p>
        </w:tc>
        <w:tc>
          <w:tcPr>
            <w:tcW w:w="1249" w:type="dxa"/>
            <w:tcBorders>
              <w:top w:val="nil"/>
              <w:left w:val="nil"/>
              <w:bottom w:val="nil"/>
              <w:right w:val="nil"/>
            </w:tcBorders>
            <w:shd w:val="clear" w:color="auto" w:fill="auto"/>
            <w:noWrap/>
            <w:vAlign w:val="bottom"/>
            <w:hideMark/>
          </w:tcPr>
          <w:p w14:paraId="6930BE91" w14:textId="77777777" w:rsidR="000F7C00" w:rsidRPr="00811BEE" w:rsidRDefault="000F7C00" w:rsidP="00211FA3">
            <w:pPr>
              <w:spacing w:after="0" w:line="240" w:lineRule="auto"/>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noWrap/>
            <w:vAlign w:val="bottom"/>
            <w:hideMark/>
          </w:tcPr>
          <w:p w14:paraId="0E0BAA7A" w14:textId="77777777" w:rsidR="000F7C00" w:rsidRPr="00811BEE" w:rsidRDefault="000F7C00" w:rsidP="00211FA3">
            <w:pPr>
              <w:spacing w:after="0" w:line="240" w:lineRule="auto"/>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noWrap/>
            <w:vAlign w:val="bottom"/>
            <w:hideMark/>
          </w:tcPr>
          <w:p w14:paraId="7097D013" w14:textId="77777777" w:rsidR="000F7C00" w:rsidRPr="00811BEE" w:rsidRDefault="000F7C00" w:rsidP="00211FA3">
            <w:pPr>
              <w:spacing w:after="0" w:line="240" w:lineRule="auto"/>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noWrap/>
            <w:vAlign w:val="bottom"/>
            <w:hideMark/>
          </w:tcPr>
          <w:p w14:paraId="0B166D3B" w14:textId="77777777" w:rsidR="000F7C00" w:rsidRPr="00811BEE" w:rsidRDefault="000F7C00" w:rsidP="00211FA3">
            <w:pPr>
              <w:spacing w:after="0" w:line="240" w:lineRule="auto"/>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noWrap/>
            <w:vAlign w:val="bottom"/>
            <w:hideMark/>
          </w:tcPr>
          <w:p w14:paraId="76691B84" w14:textId="77777777" w:rsidR="000F7C00" w:rsidRPr="00811BEE" w:rsidRDefault="000F7C00" w:rsidP="00211FA3">
            <w:pPr>
              <w:spacing w:after="0" w:line="240" w:lineRule="auto"/>
              <w:rPr>
                <w:rFonts w:ascii="Times New Roman" w:eastAsia="Times New Roman" w:hAnsi="Times New Roman" w:cs="Times New Roman"/>
                <w:sz w:val="24"/>
                <w:szCs w:val="24"/>
              </w:rPr>
            </w:pPr>
          </w:p>
        </w:tc>
        <w:tc>
          <w:tcPr>
            <w:tcW w:w="1832" w:type="dxa"/>
            <w:tcBorders>
              <w:top w:val="nil"/>
              <w:left w:val="nil"/>
              <w:bottom w:val="nil"/>
              <w:right w:val="nil"/>
            </w:tcBorders>
            <w:shd w:val="clear" w:color="auto" w:fill="auto"/>
            <w:noWrap/>
            <w:vAlign w:val="bottom"/>
            <w:hideMark/>
          </w:tcPr>
          <w:p w14:paraId="395181CD" w14:textId="77777777" w:rsidR="000F7C00" w:rsidRPr="00811BEE" w:rsidRDefault="000F7C00" w:rsidP="00211FA3">
            <w:pPr>
              <w:spacing w:after="0" w:line="240" w:lineRule="auto"/>
              <w:jc w:val="center"/>
              <w:rPr>
                <w:rFonts w:ascii="Times New Roman" w:eastAsia="Times New Roman" w:hAnsi="Times New Roman" w:cs="Times New Roman"/>
                <w:sz w:val="24"/>
                <w:szCs w:val="24"/>
              </w:rPr>
            </w:pPr>
          </w:p>
        </w:tc>
      </w:tr>
      <w:tr w:rsidR="00544157" w:rsidRPr="00811BEE" w14:paraId="50553CBD" w14:textId="77777777" w:rsidTr="00F62AED">
        <w:trPr>
          <w:trHeight w:val="290"/>
          <w:jc w:val="center"/>
        </w:trPr>
        <w:tc>
          <w:tcPr>
            <w:tcW w:w="4354" w:type="dxa"/>
            <w:tcBorders>
              <w:top w:val="nil"/>
              <w:left w:val="nil"/>
              <w:bottom w:val="nil"/>
              <w:right w:val="nil"/>
            </w:tcBorders>
            <w:shd w:val="clear" w:color="auto" w:fill="auto"/>
            <w:noWrap/>
            <w:vAlign w:val="bottom"/>
            <w:hideMark/>
          </w:tcPr>
          <w:p w14:paraId="5DF6A02E" w14:textId="77777777" w:rsidR="00544157" w:rsidRPr="00811BEE" w:rsidRDefault="00544157" w:rsidP="00544157">
            <w:pPr>
              <w:spacing w:after="0" w:line="240" w:lineRule="auto"/>
              <w:rPr>
                <w:rFonts w:ascii="Times New Roman" w:eastAsia="Times New Roman" w:hAnsi="Times New Roman" w:cs="Times New Roman"/>
                <w:color w:val="000000"/>
                <w:sz w:val="24"/>
                <w:szCs w:val="24"/>
              </w:rPr>
            </w:pPr>
            <w:r w:rsidRPr="00811BEE">
              <w:rPr>
                <w:rFonts w:ascii="Times New Roman" w:eastAsia="Times New Roman" w:hAnsi="Times New Roman" w:cs="Times New Roman"/>
                <w:color w:val="000000"/>
                <w:sz w:val="24"/>
                <w:szCs w:val="24"/>
              </w:rPr>
              <w:t xml:space="preserve">        1) Raise BA share to 50%</w:t>
            </w:r>
          </w:p>
        </w:tc>
        <w:tc>
          <w:tcPr>
            <w:tcW w:w="1249" w:type="dxa"/>
            <w:tcBorders>
              <w:top w:val="nil"/>
              <w:left w:val="nil"/>
              <w:bottom w:val="nil"/>
              <w:right w:val="nil"/>
            </w:tcBorders>
            <w:shd w:val="clear" w:color="auto" w:fill="auto"/>
            <w:noWrap/>
            <w:vAlign w:val="bottom"/>
            <w:hideMark/>
          </w:tcPr>
          <w:p w14:paraId="596BF960" w14:textId="3EE9A8C8" w:rsidR="00544157" w:rsidRPr="00544157" w:rsidRDefault="00544157" w:rsidP="00544157">
            <w:pPr>
              <w:spacing w:after="0" w:line="240" w:lineRule="auto"/>
              <w:jc w:val="right"/>
              <w:rPr>
                <w:rFonts w:ascii="Times New Roman" w:eastAsia="Times New Roman" w:hAnsi="Times New Roman" w:cs="Times New Roman"/>
                <w:color w:val="000000"/>
                <w:sz w:val="24"/>
                <w:szCs w:val="24"/>
              </w:rPr>
            </w:pPr>
            <w:r w:rsidRPr="00544157">
              <w:rPr>
                <w:rFonts w:ascii="Times New Roman" w:hAnsi="Times New Roman" w:cs="Times New Roman"/>
                <w:color w:val="000000"/>
                <w:sz w:val="24"/>
                <w:szCs w:val="24"/>
              </w:rPr>
              <w:t>2.33</w:t>
            </w:r>
          </w:p>
        </w:tc>
        <w:tc>
          <w:tcPr>
            <w:tcW w:w="1249" w:type="dxa"/>
            <w:tcBorders>
              <w:top w:val="nil"/>
              <w:left w:val="nil"/>
              <w:bottom w:val="nil"/>
              <w:right w:val="nil"/>
            </w:tcBorders>
            <w:shd w:val="clear" w:color="auto" w:fill="auto"/>
            <w:noWrap/>
            <w:vAlign w:val="bottom"/>
            <w:hideMark/>
          </w:tcPr>
          <w:p w14:paraId="1E4AAA99" w14:textId="1359EBAF" w:rsidR="00544157" w:rsidRPr="00544157" w:rsidRDefault="00544157" w:rsidP="00544157">
            <w:pPr>
              <w:spacing w:after="0" w:line="240" w:lineRule="auto"/>
              <w:jc w:val="right"/>
              <w:rPr>
                <w:rFonts w:ascii="Times New Roman" w:eastAsia="Times New Roman" w:hAnsi="Times New Roman" w:cs="Times New Roman"/>
                <w:color w:val="000000"/>
                <w:sz w:val="24"/>
                <w:szCs w:val="24"/>
              </w:rPr>
            </w:pPr>
            <w:r w:rsidRPr="00544157">
              <w:rPr>
                <w:rFonts w:ascii="Times New Roman" w:hAnsi="Times New Roman" w:cs="Times New Roman"/>
                <w:color w:val="000000"/>
                <w:sz w:val="24"/>
                <w:szCs w:val="24"/>
              </w:rPr>
              <w:t>5.74</w:t>
            </w:r>
          </w:p>
        </w:tc>
        <w:tc>
          <w:tcPr>
            <w:tcW w:w="1249" w:type="dxa"/>
            <w:tcBorders>
              <w:top w:val="nil"/>
              <w:left w:val="nil"/>
              <w:bottom w:val="nil"/>
              <w:right w:val="nil"/>
            </w:tcBorders>
            <w:shd w:val="clear" w:color="auto" w:fill="auto"/>
            <w:noWrap/>
            <w:vAlign w:val="bottom"/>
            <w:hideMark/>
          </w:tcPr>
          <w:p w14:paraId="317F7771" w14:textId="27CA0849" w:rsidR="00544157" w:rsidRPr="00544157" w:rsidRDefault="00544157" w:rsidP="00544157">
            <w:pPr>
              <w:spacing w:after="0" w:line="240" w:lineRule="auto"/>
              <w:jc w:val="right"/>
              <w:rPr>
                <w:rFonts w:ascii="Times New Roman" w:eastAsia="Times New Roman" w:hAnsi="Times New Roman" w:cs="Times New Roman"/>
                <w:color w:val="000000"/>
                <w:sz w:val="24"/>
                <w:szCs w:val="24"/>
              </w:rPr>
            </w:pPr>
            <w:r w:rsidRPr="00544157">
              <w:rPr>
                <w:rFonts w:ascii="Times New Roman" w:hAnsi="Times New Roman" w:cs="Times New Roman"/>
                <w:color w:val="000000"/>
                <w:sz w:val="24"/>
                <w:szCs w:val="24"/>
              </w:rPr>
              <w:t>1.60</w:t>
            </w:r>
          </w:p>
        </w:tc>
        <w:tc>
          <w:tcPr>
            <w:tcW w:w="1249" w:type="dxa"/>
            <w:tcBorders>
              <w:top w:val="nil"/>
              <w:left w:val="nil"/>
              <w:bottom w:val="nil"/>
              <w:right w:val="nil"/>
            </w:tcBorders>
            <w:shd w:val="clear" w:color="auto" w:fill="auto"/>
            <w:noWrap/>
            <w:vAlign w:val="bottom"/>
            <w:hideMark/>
          </w:tcPr>
          <w:p w14:paraId="0215E4F3" w14:textId="55A2A35B" w:rsidR="00544157" w:rsidRPr="00544157" w:rsidRDefault="00544157" w:rsidP="00544157">
            <w:pPr>
              <w:spacing w:after="0" w:line="240" w:lineRule="auto"/>
              <w:jc w:val="right"/>
              <w:rPr>
                <w:rFonts w:ascii="Times New Roman" w:eastAsia="Times New Roman" w:hAnsi="Times New Roman" w:cs="Times New Roman"/>
                <w:color w:val="000000"/>
                <w:sz w:val="24"/>
                <w:szCs w:val="24"/>
              </w:rPr>
            </w:pPr>
            <w:r w:rsidRPr="00544157">
              <w:rPr>
                <w:rFonts w:ascii="Times New Roman" w:hAnsi="Times New Roman" w:cs="Times New Roman"/>
                <w:color w:val="000000"/>
                <w:sz w:val="24"/>
                <w:szCs w:val="24"/>
              </w:rPr>
              <w:t>3.93</w:t>
            </w:r>
          </w:p>
        </w:tc>
        <w:tc>
          <w:tcPr>
            <w:tcW w:w="1249" w:type="dxa"/>
            <w:tcBorders>
              <w:top w:val="nil"/>
              <w:left w:val="nil"/>
              <w:bottom w:val="nil"/>
              <w:right w:val="nil"/>
            </w:tcBorders>
            <w:shd w:val="clear" w:color="auto" w:fill="auto"/>
            <w:noWrap/>
            <w:vAlign w:val="bottom"/>
            <w:hideMark/>
          </w:tcPr>
          <w:p w14:paraId="1CFCE8EA" w14:textId="4EF747F3" w:rsidR="00544157" w:rsidRPr="00544157" w:rsidRDefault="00544157" w:rsidP="00544157">
            <w:pPr>
              <w:spacing w:after="0" w:line="240" w:lineRule="auto"/>
              <w:jc w:val="right"/>
              <w:rPr>
                <w:rFonts w:ascii="Times New Roman" w:eastAsia="Times New Roman" w:hAnsi="Times New Roman" w:cs="Times New Roman"/>
                <w:color w:val="000000"/>
                <w:sz w:val="24"/>
                <w:szCs w:val="24"/>
              </w:rPr>
            </w:pPr>
            <w:r w:rsidRPr="00544157">
              <w:rPr>
                <w:rFonts w:ascii="Times New Roman" w:hAnsi="Times New Roman" w:cs="Times New Roman"/>
                <w:color w:val="000000"/>
                <w:sz w:val="24"/>
                <w:szCs w:val="24"/>
              </w:rPr>
              <w:t>2.46</w:t>
            </w:r>
          </w:p>
        </w:tc>
        <w:tc>
          <w:tcPr>
            <w:tcW w:w="1249" w:type="dxa"/>
            <w:tcBorders>
              <w:top w:val="nil"/>
              <w:left w:val="nil"/>
              <w:bottom w:val="nil"/>
              <w:right w:val="nil"/>
            </w:tcBorders>
            <w:shd w:val="clear" w:color="auto" w:fill="auto"/>
            <w:noWrap/>
            <w:vAlign w:val="bottom"/>
            <w:hideMark/>
          </w:tcPr>
          <w:p w14:paraId="2D801A0D" w14:textId="55477C12" w:rsidR="00544157" w:rsidRPr="00544157" w:rsidRDefault="00544157" w:rsidP="00544157">
            <w:pPr>
              <w:spacing w:after="0" w:line="240" w:lineRule="auto"/>
              <w:jc w:val="right"/>
              <w:rPr>
                <w:rFonts w:ascii="Times New Roman" w:eastAsia="Times New Roman" w:hAnsi="Times New Roman" w:cs="Times New Roman"/>
                <w:color w:val="000000"/>
                <w:sz w:val="24"/>
                <w:szCs w:val="24"/>
              </w:rPr>
            </w:pPr>
            <w:r w:rsidRPr="00544157">
              <w:rPr>
                <w:rFonts w:ascii="Times New Roman" w:hAnsi="Times New Roman" w:cs="Times New Roman"/>
                <w:color w:val="000000"/>
                <w:sz w:val="24"/>
                <w:szCs w:val="24"/>
              </w:rPr>
              <w:t>2.78</w:t>
            </w:r>
          </w:p>
        </w:tc>
        <w:tc>
          <w:tcPr>
            <w:tcW w:w="1832" w:type="dxa"/>
            <w:tcBorders>
              <w:top w:val="nil"/>
              <w:left w:val="nil"/>
              <w:bottom w:val="nil"/>
              <w:right w:val="nil"/>
            </w:tcBorders>
            <w:shd w:val="clear" w:color="auto" w:fill="auto"/>
            <w:noWrap/>
            <w:vAlign w:val="bottom"/>
            <w:hideMark/>
          </w:tcPr>
          <w:p w14:paraId="26742251" w14:textId="7CD122F1" w:rsidR="00544157" w:rsidRPr="00544157" w:rsidRDefault="00544157" w:rsidP="00544157">
            <w:pPr>
              <w:spacing w:after="0" w:line="240" w:lineRule="auto"/>
              <w:jc w:val="center"/>
              <w:rPr>
                <w:rFonts w:ascii="Times New Roman" w:eastAsia="Times New Roman" w:hAnsi="Times New Roman" w:cs="Times New Roman"/>
                <w:color w:val="000000"/>
                <w:sz w:val="24"/>
                <w:szCs w:val="24"/>
              </w:rPr>
            </w:pPr>
            <w:r w:rsidRPr="00544157">
              <w:rPr>
                <w:rFonts w:ascii="Times New Roman" w:hAnsi="Times New Roman" w:cs="Times New Roman"/>
                <w:color w:val="000000"/>
                <w:sz w:val="24"/>
                <w:szCs w:val="24"/>
              </w:rPr>
              <w:t>0.407</w:t>
            </w:r>
          </w:p>
        </w:tc>
      </w:tr>
      <w:tr w:rsidR="00544157" w:rsidRPr="00811BEE" w14:paraId="4FAA50BD" w14:textId="77777777" w:rsidTr="00F62AED">
        <w:trPr>
          <w:trHeight w:val="290"/>
          <w:jc w:val="center"/>
        </w:trPr>
        <w:tc>
          <w:tcPr>
            <w:tcW w:w="4354" w:type="dxa"/>
            <w:tcBorders>
              <w:top w:val="nil"/>
              <w:left w:val="nil"/>
              <w:bottom w:val="nil"/>
              <w:right w:val="nil"/>
            </w:tcBorders>
            <w:shd w:val="clear" w:color="auto" w:fill="auto"/>
            <w:noWrap/>
            <w:vAlign w:val="bottom"/>
            <w:hideMark/>
          </w:tcPr>
          <w:p w14:paraId="71080B27" w14:textId="77777777" w:rsidR="00544157" w:rsidRPr="00811BEE" w:rsidRDefault="00544157" w:rsidP="00544157">
            <w:pPr>
              <w:spacing w:after="0" w:line="240" w:lineRule="auto"/>
              <w:rPr>
                <w:rFonts w:ascii="Times New Roman" w:eastAsia="Times New Roman" w:hAnsi="Times New Roman" w:cs="Times New Roman"/>
                <w:color w:val="000000"/>
                <w:sz w:val="24"/>
                <w:szCs w:val="24"/>
              </w:rPr>
            </w:pPr>
            <w:r w:rsidRPr="00811BEE">
              <w:rPr>
                <w:rFonts w:ascii="Times New Roman" w:eastAsia="Times New Roman" w:hAnsi="Times New Roman" w:cs="Times New Roman"/>
                <w:color w:val="000000"/>
                <w:sz w:val="24"/>
                <w:szCs w:val="24"/>
              </w:rPr>
              <w:t xml:space="preserve">        2) + Raise AA share to 15%</w:t>
            </w:r>
          </w:p>
        </w:tc>
        <w:tc>
          <w:tcPr>
            <w:tcW w:w="1249" w:type="dxa"/>
            <w:tcBorders>
              <w:top w:val="nil"/>
              <w:left w:val="nil"/>
              <w:bottom w:val="nil"/>
              <w:right w:val="nil"/>
            </w:tcBorders>
            <w:shd w:val="clear" w:color="auto" w:fill="auto"/>
            <w:noWrap/>
            <w:vAlign w:val="bottom"/>
            <w:hideMark/>
          </w:tcPr>
          <w:p w14:paraId="5CA0D7F8" w14:textId="0C63246E" w:rsidR="00544157" w:rsidRPr="00544157" w:rsidRDefault="00544157" w:rsidP="00544157">
            <w:pPr>
              <w:spacing w:after="0" w:line="240" w:lineRule="auto"/>
              <w:jc w:val="right"/>
              <w:rPr>
                <w:rFonts w:ascii="Times New Roman" w:eastAsia="Times New Roman" w:hAnsi="Times New Roman" w:cs="Times New Roman"/>
                <w:color w:val="000000"/>
                <w:sz w:val="24"/>
                <w:szCs w:val="24"/>
              </w:rPr>
            </w:pPr>
            <w:r w:rsidRPr="00544157">
              <w:rPr>
                <w:rFonts w:ascii="Times New Roman" w:hAnsi="Times New Roman" w:cs="Times New Roman"/>
                <w:color w:val="000000"/>
                <w:sz w:val="24"/>
                <w:szCs w:val="24"/>
              </w:rPr>
              <w:t>2.29</w:t>
            </w:r>
          </w:p>
        </w:tc>
        <w:tc>
          <w:tcPr>
            <w:tcW w:w="1249" w:type="dxa"/>
            <w:tcBorders>
              <w:top w:val="nil"/>
              <w:left w:val="nil"/>
              <w:bottom w:val="nil"/>
              <w:right w:val="nil"/>
            </w:tcBorders>
            <w:shd w:val="clear" w:color="auto" w:fill="auto"/>
            <w:noWrap/>
            <w:vAlign w:val="bottom"/>
            <w:hideMark/>
          </w:tcPr>
          <w:p w14:paraId="218A283A" w14:textId="1242242C" w:rsidR="00544157" w:rsidRPr="00544157" w:rsidRDefault="00544157" w:rsidP="00544157">
            <w:pPr>
              <w:spacing w:after="0" w:line="240" w:lineRule="auto"/>
              <w:jc w:val="right"/>
              <w:rPr>
                <w:rFonts w:ascii="Times New Roman" w:eastAsia="Times New Roman" w:hAnsi="Times New Roman" w:cs="Times New Roman"/>
                <w:color w:val="000000"/>
                <w:sz w:val="24"/>
                <w:szCs w:val="24"/>
              </w:rPr>
            </w:pPr>
            <w:r w:rsidRPr="00544157">
              <w:rPr>
                <w:rFonts w:ascii="Times New Roman" w:hAnsi="Times New Roman" w:cs="Times New Roman"/>
                <w:color w:val="000000"/>
                <w:sz w:val="24"/>
                <w:szCs w:val="24"/>
              </w:rPr>
              <w:t>5.57</w:t>
            </w:r>
          </w:p>
        </w:tc>
        <w:tc>
          <w:tcPr>
            <w:tcW w:w="1249" w:type="dxa"/>
            <w:tcBorders>
              <w:top w:val="nil"/>
              <w:left w:val="nil"/>
              <w:bottom w:val="nil"/>
              <w:right w:val="nil"/>
            </w:tcBorders>
            <w:shd w:val="clear" w:color="auto" w:fill="auto"/>
            <w:noWrap/>
            <w:vAlign w:val="bottom"/>
            <w:hideMark/>
          </w:tcPr>
          <w:p w14:paraId="4C35F876" w14:textId="54F30178" w:rsidR="00544157" w:rsidRPr="00544157" w:rsidRDefault="00544157" w:rsidP="00544157">
            <w:pPr>
              <w:spacing w:after="0" w:line="240" w:lineRule="auto"/>
              <w:jc w:val="right"/>
              <w:rPr>
                <w:rFonts w:ascii="Times New Roman" w:eastAsia="Times New Roman" w:hAnsi="Times New Roman" w:cs="Times New Roman"/>
                <w:color w:val="000000"/>
                <w:sz w:val="24"/>
                <w:szCs w:val="24"/>
              </w:rPr>
            </w:pPr>
            <w:r w:rsidRPr="00544157">
              <w:rPr>
                <w:rFonts w:ascii="Times New Roman" w:hAnsi="Times New Roman" w:cs="Times New Roman"/>
                <w:color w:val="000000"/>
                <w:sz w:val="24"/>
                <w:szCs w:val="24"/>
              </w:rPr>
              <w:t>1.57</w:t>
            </w:r>
          </w:p>
        </w:tc>
        <w:tc>
          <w:tcPr>
            <w:tcW w:w="1249" w:type="dxa"/>
            <w:tcBorders>
              <w:top w:val="nil"/>
              <w:left w:val="nil"/>
              <w:bottom w:val="nil"/>
              <w:right w:val="nil"/>
            </w:tcBorders>
            <w:shd w:val="clear" w:color="auto" w:fill="auto"/>
            <w:noWrap/>
            <w:vAlign w:val="bottom"/>
            <w:hideMark/>
          </w:tcPr>
          <w:p w14:paraId="4D8993F8" w14:textId="64044C26" w:rsidR="00544157" w:rsidRPr="00544157" w:rsidRDefault="00544157" w:rsidP="00544157">
            <w:pPr>
              <w:spacing w:after="0" w:line="240" w:lineRule="auto"/>
              <w:jc w:val="right"/>
              <w:rPr>
                <w:rFonts w:ascii="Times New Roman" w:eastAsia="Times New Roman" w:hAnsi="Times New Roman" w:cs="Times New Roman"/>
                <w:color w:val="000000"/>
                <w:sz w:val="24"/>
                <w:szCs w:val="24"/>
              </w:rPr>
            </w:pPr>
            <w:r w:rsidRPr="00544157">
              <w:rPr>
                <w:rFonts w:ascii="Times New Roman" w:hAnsi="Times New Roman" w:cs="Times New Roman"/>
                <w:color w:val="000000"/>
                <w:sz w:val="24"/>
                <w:szCs w:val="24"/>
              </w:rPr>
              <w:t>3.82</w:t>
            </w:r>
          </w:p>
        </w:tc>
        <w:tc>
          <w:tcPr>
            <w:tcW w:w="1249" w:type="dxa"/>
            <w:tcBorders>
              <w:top w:val="nil"/>
              <w:left w:val="nil"/>
              <w:bottom w:val="nil"/>
              <w:right w:val="nil"/>
            </w:tcBorders>
            <w:shd w:val="clear" w:color="auto" w:fill="auto"/>
            <w:noWrap/>
            <w:vAlign w:val="bottom"/>
            <w:hideMark/>
          </w:tcPr>
          <w:p w14:paraId="31FE676A" w14:textId="19F12BC1" w:rsidR="00544157" w:rsidRPr="00544157" w:rsidRDefault="00544157" w:rsidP="00544157">
            <w:pPr>
              <w:spacing w:after="0" w:line="240" w:lineRule="auto"/>
              <w:jc w:val="right"/>
              <w:rPr>
                <w:rFonts w:ascii="Times New Roman" w:eastAsia="Times New Roman" w:hAnsi="Times New Roman" w:cs="Times New Roman"/>
                <w:color w:val="000000"/>
                <w:sz w:val="24"/>
                <w:szCs w:val="24"/>
              </w:rPr>
            </w:pPr>
            <w:r w:rsidRPr="00544157">
              <w:rPr>
                <w:rFonts w:ascii="Times New Roman" w:hAnsi="Times New Roman" w:cs="Times New Roman"/>
                <w:color w:val="000000"/>
                <w:sz w:val="24"/>
                <w:szCs w:val="24"/>
              </w:rPr>
              <w:t>2.43</w:t>
            </w:r>
          </w:p>
        </w:tc>
        <w:tc>
          <w:tcPr>
            <w:tcW w:w="1249" w:type="dxa"/>
            <w:tcBorders>
              <w:top w:val="nil"/>
              <w:left w:val="nil"/>
              <w:bottom w:val="nil"/>
              <w:right w:val="nil"/>
            </w:tcBorders>
            <w:shd w:val="clear" w:color="auto" w:fill="auto"/>
            <w:noWrap/>
            <w:vAlign w:val="bottom"/>
            <w:hideMark/>
          </w:tcPr>
          <w:p w14:paraId="07D20A94" w14:textId="26C23ADB" w:rsidR="00544157" w:rsidRPr="00544157" w:rsidRDefault="00544157" w:rsidP="00544157">
            <w:pPr>
              <w:spacing w:after="0" w:line="240" w:lineRule="auto"/>
              <w:jc w:val="right"/>
              <w:rPr>
                <w:rFonts w:ascii="Times New Roman" w:eastAsia="Times New Roman" w:hAnsi="Times New Roman" w:cs="Times New Roman"/>
                <w:color w:val="000000"/>
                <w:sz w:val="24"/>
                <w:szCs w:val="24"/>
              </w:rPr>
            </w:pPr>
            <w:r w:rsidRPr="00544157">
              <w:rPr>
                <w:rFonts w:ascii="Times New Roman" w:hAnsi="Times New Roman" w:cs="Times New Roman"/>
                <w:color w:val="000000"/>
                <w:sz w:val="24"/>
                <w:szCs w:val="24"/>
              </w:rPr>
              <w:t>2.78</w:t>
            </w:r>
          </w:p>
        </w:tc>
        <w:tc>
          <w:tcPr>
            <w:tcW w:w="1832" w:type="dxa"/>
            <w:tcBorders>
              <w:top w:val="nil"/>
              <w:left w:val="nil"/>
              <w:bottom w:val="nil"/>
              <w:right w:val="nil"/>
            </w:tcBorders>
            <w:shd w:val="clear" w:color="auto" w:fill="auto"/>
            <w:noWrap/>
            <w:vAlign w:val="bottom"/>
            <w:hideMark/>
          </w:tcPr>
          <w:p w14:paraId="1FEC84AB" w14:textId="5AF3C8E6" w:rsidR="00544157" w:rsidRPr="00544157" w:rsidRDefault="00544157" w:rsidP="00544157">
            <w:pPr>
              <w:spacing w:after="0" w:line="240" w:lineRule="auto"/>
              <w:jc w:val="center"/>
              <w:rPr>
                <w:rFonts w:ascii="Times New Roman" w:eastAsia="Times New Roman" w:hAnsi="Times New Roman" w:cs="Times New Roman"/>
                <w:color w:val="000000"/>
                <w:sz w:val="24"/>
                <w:szCs w:val="24"/>
              </w:rPr>
            </w:pPr>
            <w:r w:rsidRPr="00544157">
              <w:rPr>
                <w:rFonts w:ascii="Times New Roman" w:hAnsi="Times New Roman" w:cs="Times New Roman"/>
                <w:color w:val="000000"/>
                <w:sz w:val="24"/>
                <w:szCs w:val="24"/>
              </w:rPr>
              <w:t>0.402</w:t>
            </w:r>
          </w:p>
        </w:tc>
      </w:tr>
      <w:tr w:rsidR="00544157" w:rsidRPr="00811BEE" w14:paraId="1CD89463" w14:textId="77777777" w:rsidTr="00F62AED">
        <w:trPr>
          <w:trHeight w:val="290"/>
          <w:jc w:val="center"/>
        </w:trPr>
        <w:tc>
          <w:tcPr>
            <w:tcW w:w="4354" w:type="dxa"/>
            <w:tcBorders>
              <w:top w:val="nil"/>
              <w:left w:val="nil"/>
              <w:bottom w:val="nil"/>
              <w:right w:val="nil"/>
            </w:tcBorders>
            <w:shd w:val="clear" w:color="auto" w:fill="auto"/>
            <w:noWrap/>
            <w:vAlign w:val="bottom"/>
            <w:hideMark/>
          </w:tcPr>
          <w:p w14:paraId="53E83A7A" w14:textId="77777777" w:rsidR="00544157" w:rsidRPr="00811BEE" w:rsidRDefault="00544157" w:rsidP="00544157">
            <w:pPr>
              <w:spacing w:after="0" w:line="240" w:lineRule="auto"/>
              <w:rPr>
                <w:rFonts w:ascii="Times New Roman" w:eastAsia="Times New Roman" w:hAnsi="Times New Roman" w:cs="Times New Roman"/>
                <w:color w:val="000000"/>
                <w:sz w:val="24"/>
                <w:szCs w:val="24"/>
              </w:rPr>
            </w:pPr>
            <w:r w:rsidRPr="00811BEE">
              <w:rPr>
                <w:rFonts w:ascii="Times New Roman" w:eastAsia="Times New Roman" w:hAnsi="Times New Roman" w:cs="Times New Roman"/>
                <w:color w:val="000000"/>
                <w:sz w:val="24"/>
                <w:szCs w:val="24"/>
              </w:rPr>
              <w:t xml:space="preserve">        3) 60% BA share, 20% AA share</w:t>
            </w:r>
          </w:p>
        </w:tc>
        <w:tc>
          <w:tcPr>
            <w:tcW w:w="1249" w:type="dxa"/>
            <w:tcBorders>
              <w:top w:val="nil"/>
              <w:left w:val="nil"/>
              <w:bottom w:val="nil"/>
              <w:right w:val="nil"/>
            </w:tcBorders>
            <w:shd w:val="clear" w:color="auto" w:fill="auto"/>
            <w:noWrap/>
            <w:vAlign w:val="bottom"/>
            <w:hideMark/>
          </w:tcPr>
          <w:p w14:paraId="0F182FAB" w14:textId="1F06167C" w:rsidR="00544157" w:rsidRPr="00544157" w:rsidRDefault="00544157" w:rsidP="00544157">
            <w:pPr>
              <w:spacing w:after="0" w:line="240" w:lineRule="auto"/>
              <w:jc w:val="right"/>
              <w:rPr>
                <w:rFonts w:ascii="Times New Roman" w:eastAsia="Times New Roman" w:hAnsi="Times New Roman" w:cs="Times New Roman"/>
                <w:color w:val="000000"/>
                <w:sz w:val="24"/>
                <w:szCs w:val="24"/>
              </w:rPr>
            </w:pPr>
            <w:r w:rsidRPr="00544157">
              <w:rPr>
                <w:rFonts w:ascii="Times New Roman" w:hAnsi="Times New Roman" w:cs="Times New Roman"/>
                <w:color w:val="000000"/>
                <w:sz w:val="24"/>
                <w:szCs w:val="24"/>
              </w:rPr>
              <w:t>2.22</w:t>
            </w:r>
          </w:p>
        </w:tc>
        <w:tc>
          <w:tcPr>
            <w:tcW w:w="1249" w:type="dxa"/>
            <w:tcBorders>
              <w:top w:val="nil"/>
              <w:left w:val="nil"/>
              <w:bottom w:val="nil"/>
              <w:right w:val="nil"/>
            </w:tcBorders>
            <w:shd w:val="clear" w:color="auto" w:fill="auto"/>
            <w:noWrap/>
            <w:vAlign w:val="bottom"/>
            <w:hideMark/>
          </w:tcPr>
          <w:p w14:paraId="2DE96254" w14:textId="5FF3C02D" w:rsidR="00544157" w:rsidRPr="00544157" w:rsidRDefault="00544157" w:rsidP="00544157">
            <w:pPr>
              <w:spacing w:after="0" w:line="240" w:lineRule="auto"/>
              <w:jc w:val="right"/>
              <w:rPr>
                <w:rFonts w:ascii="Times New Roman" w:eastAsia="Times New Roman" w:hAnsi="Times New Roman" w:cs="Times New Roman"/>
                <w:color w:val="000000"/>
                <w:sz w:val="24"/>
                <w:szCs w:val="24"/>
              </w:rPr>
            </w:pPr>
            <w:r w:rsidRPr="00544157">
              <w:rPr>
                <w:rFonts w:ascii="Times New Roman" w:hAnsi="Times New Roman" w:cs="Times New Roman"/>
                <w:color w:val="000000"/>
                <w:sz w:val="24"/>
                <w:szCs w:val="24"/>
              </w:rPr>
              <w:t>5.18</w:t>
            </w:r>
          </w:p>
        </w:tc>
        <w:tc>
          <w:tcPr>
            <w:tcW w:w="1249" w:type="dxa"/>
            <w:tcBorders>
              <w:top w:val="nil"/>
              <w:left w:val="nil"/>
              <w:bottom w:val="nil"/>
              <w:right w:val="nil"/>
            </w:tcBorders>
            <w:shd w:val="clear" w:color="auto" w:fill="auto"/>
            <w:noWrap/>
            <w:vAlign w:val="bottom"/>
            <w:hideMark/>
          </w:tcPr>
          <w:p w14:paraId="6D6DF49F" w14:textId="66372BD9" w:rsidR="00544157" w:rsidRPr="00544157" w:rsidRDefault="00544157" w:rsidP="00544157">
            <w:pPr>
              <w:spacing w:after="0" w:line="240" w:lineRule="auto"/>
              <w:jc w:val="right"/>
              <w:rPr>
                <w:rFonts w:ascii="Times New Roman" w:eastAsia="Times New Roman" w:hAnsi="Times New Roman" w:cs="Times New Roman"/>
                <w:color w:val="000000"/>
                <w:sz w:val="24"/>
                <w:szCs w:val="24"/>
              </w:rPr>
            </w:pPr>
            <w:r w:rsidRPr="00544157">
              <w:rPr>
                <w:rFonts w:ascii="Times New Roman" w:hAnsi="Times New Roman" w:cs="Times New Roman"/>
                <w:color w:val="000000"/>
                <w:sz w:val="24"/>
                <w:szCs w:val="24"/>
              </w:rPr>
              <w:t>1.53</w:t>
            </w:r>
          </w:p>
        </w:tc>
        <w:tc>
          <w:tcPr>
            <w:tcW w:w="1249" w:type="dxa"/>
            <w:tcBorders>
              <w:top w:val="nil"/>
              <w:left w:val="nil"/>
              <w:bottom w:val="nil"/>
              <w:right w:val="nil"/>
            </w:tcBorders>
            <w:shd w:val="clear" w:color="auto" w:fill="auto"/>
            <w:noWrap/>
            <w:vAlign w:val="bottom"/>
            <w:hideMark/>
          </w:tcPr>
          <w:p w14:paraId="2E4E7C3D" w14:textId="49716C77" w:rsidR="00544157" w:rsidRPr="00544157" w:rsidRDefault="00544157" w:rsidP="00544157">
            <w:pPr>
              <w:spacing w:after="0" w:line="240" w:lineRule="auto"/>
              <w:jc w:val="right"/>
              <w:rPr>
                <w:rFonts w:ascii="Times New Roman" w:eastAsia="Times New Roman" w:hAnsi="Times New Roman" w:cs="Times New Roman"/>
                <w:color w:val="000000"/>
                <w:sz w:val="24"/>
                <w:szCs w:val="24"/>
              </w:rPr>
            </w:pPr>
            <w:r w:rsidRPr="00544157">
              <w:rPr>
                <w:rFonts w:ascii="Times New Roman" w:hAnsi="Times New Roman" w:cs="Times New Roman"/>
                <w:color w:val="000000"/>
                <w:sz w:val="24"/>
                <w:szCs w:val="24"/>
              </w:rPr>
              <w:t>3.56</w:t>
            </w:r>
          </w:p>
        </w:tc>
        <w:tc>
          <w:tcPr>
            <w:tcW w:w="1249" w:type="dxa"/>
            <w:tcBorders>
              <w:top w:val="nil"/>
              <w:left w:val="nil"/>
              <w:bottom w:val="nil"/>
              <w:right w:val="nil"/>
            </w:tcBorders>
            <w:shd w:val="clear" w:color="auto" w:fill="auto"/>
            <w:noWrap/>
            <w:vAlign w:val="bottom"/>
            <w:hideMark/>
          </w:tcPr>
          <w:p w14:paraId="1400E909" w14:textId="7CD97024" w:rsidR="00544157" w:rsidRPr="00544157" w:rsidRDefault="00544157" w:rsidP="00544157">
            <w:pPr>
              <w:spacing w:after="0" w:line="240" w:lineRule="auto"/>
              <w:jc w:val="right"/>
              <w:rPr>
                <w:rFonts w:ascii="Times New Roman" w:eastAsia="Times New Roman" w:hAnsi="Times New Roman" w:cs="Times New Roman"/>
                <w:color w:val="000000"/>
                <w:sz w:val="24"/>
                <w:szCs w:val="24"/>
              </w:rPr>
            </w:pPr>
            <w:r w:rsidRPr="00544157">
              <w:rPr>
                <w:rFonts w:ascii="Times New Roman" w:hAnsi="Times New Roman" w:cs="Times New Roman"/>
                <w:color w:val="000000"/>
                <w:sz w:val="24"/>
                <w:szCs w:val="24"/>
              </w:rPr>
              <w:t>2.33</w:t>
            </w:r>
          </w:p>
        </w:tc>
        <w:tc>
          <w:tcPr>
            <w:tcW w:w="1249" w:type="dxa"/>
            <w:tcBorders>
              <w:top w:val="nil"/>
              <w:left w:val="nil"/>
              <w:bottom w:val="nil"/>
              <w:right w:val="nil"/>
            </w:tcBorders>
            <w:shd w:val="clear" w:color="auto" w:fill="auto"/>
            <w:noWrap/>
            <w:vAlign w:val="bottom"/>
            <w:hideMark/>
          </w:tcPr>
          <w:p w14:paraId="01F8AC94" w14:textId="48A08EC0" w:rsidR="00544157" w:rsidRPr="00544157" w:rsidRDefault="00544157" w:rsidP="00544157">
            <w:pPr>
              <w:spacing w:after="0" w:line="240" w:lineRule="auto"/>
              <w:jc w:val="right"/>
              <w:rPr>
                <w:rFonts w:ascii="Times New Roman" w:eastAsia="Times New Roman" w:hAnsi="Times New Roman" w:cs="Times New Roman"/>
                <w:color w:val="000000"/>
                <w:sz w:val="24"/>
                <w:szCs w:val="24"/>
              </w:rPr>
            </w:pPr>
            <w:r w:rsidRPr="00544157">
              <w:rPr>
                <w:rFonts w:ascii="Times New Roman" w:hAnsi="Times New Roman" w:cs="Times New Roman"/>
                <w:color w:val="000000"/>
                <w:sz w:val="24"/>
                <w:szCs w:val="24"/>
              </w:rPr>
              <w:t>2.70</w:t>
            </w:r>
          </w:p>
        </w:tc>
        <w:tc>
          <w:tcPr>
            <w:tcW w:w="1832" w:type="dxa"/>
            <w:tcBorders>
              <w:top w:val="nil"/>
              <w:left w:val="nil"/>
              <w:bottom w:val="nil"/>
              <w:right w:val="nil"/>
            </w:tcBorders>
            <w:shd w:val="clear" w:color="auto" w:fill="auto"/>
            <w:noWrap/>
            <w:vAlign w:val="bottom"/>
            <w:hideMark/>
          </w:tcPr>
          <w:p w14:paraId="3C0166FC" w14:textId="27B913EB" w:rsidR="00544157" w:rsidRPr="00544157" w:rsidRDefault="00544157" w:rsidP="00544157">
            <w:pPr>
              <w:spacing w:after="0" w:line="240" w:lineRule="auto"/>
              <w:jc w:val="center"/>
              <w:rPr>
                <w:rFonts w:ascii="Times New Roman" w:eastAsia="Times New Roman" w:hAnsi="Times New Roman" w:cs="Times New Roman"/>
                <w:color w:val="000000"/>
                <w:sz w:val="24"/>
                <w:szCs w:val="24"/>
              </w:rPr>
            </w:pPr>
            <w:r w:rsidRPr="00544157">
              <w:rPr>
                <w:rFonts w:ascii="Times New Roman" w:hAnsi="Times New Roman" w:cs="Times New Roman"/>
                <w:color w:val="000000"/>
                <w:sz w:val="24"/>
                <w:szCs w:val="24"/>
              </w:rPr>
              <w:t>0.391</w:t>
            </w:r>
          </w:p>
        </w:tc>
      </w:tr>
      <w:tr w:rsidR="00AD23B4" w:rsidRPr="00811BEE" w14:paraId="014593E5" w14:textId="77777777" w:rsidTr="00211FA3">
        <w:trPr>
          <w:trHeight w:val="432"/>
          <w:jc w:val="center"/>
        </w:trPr>
        <w:tc>
          <w:tcPr>
            <w:tcW w:w="4354" w:type="dxa"/>
            <w:tcBorders>
              <w:top w:val="nil"/>
              <w:left w:val="nil"/>
              <w:bottom w:val="nil"/>
              <w:right w:val="nil"/>
            </w:tcBorders>
            <w:shd w:val="clear" w:color="auto" w:fill="auto"/>
            <w:noWrap/>
            <w:vAlign w:val="bottom"/>
            <w:hideMark/>
          </w:tcPr>
          <w:p w14:paraId="3BC16558" w14:textId="77777777" w:rsidR="00AD23B4" w:rsidRPr="00811BEE" w:rsidRDefault="00AD23B4" w:rsidP="00AD23B4">
            <w:pPr>
              <w:spacing w:after="0" w:line="240" w:lineRule="auto"/>
              <w:rPr>
                <w:rFonts w:ascii="Times New Roman" w:eastAsia="Times New Roman" w:hAnsi="Times New Roman" w:cs="Times New Roman"/>
                <w:i/>
                <w:color w:val="000000"/>
                <w:sz w:val="24"/>
                <w:szCs w:val="24"/>
              </w:rPr>
            </w:pPr>
            <w:r w:rsidRPr="00811BEE">
              <w:rPr>
                <w:rFonts w:ascii="Times New Roman" w:eastAsia="Times New Roman" w:hAnsi="Times New Roman" w:cs="Times New Roman"/>
                <w:color w:val="000000"/>
                <w:sz w:val="24"/>
                <w:szCs w:val="24"/>
              </w:rPr>
              <w:t xml:space="preserve">     </w:t>
            </w:r>
            <w:r w:rsidRPr="00811BEE">
              <w:rPr>
                <w:rFonts w:ascii="Times New Roman" w:eastAsia="Times New Roman" w:hAnsi="Times New Roman" w:cs="Times New Roman"/>
                <w:i/>
                <w:color w:val="000000"/>
                <w:sz w:val="24"/>
                <w:szCs w:val="24"/>
              </w:rPr>
              <w:t>Causal Parameter Method</w:t>
            </w:r>
          </w:p>
        </w:tc>
        <w:tc>
          <w:tcPr>
            <w:tcW w:w="1249" w:type="dxa"/>
            <w:tcBorders>
              <w:top w:val="nil"/>
              <w:left w:val="nil"/>
              <w:bottom w:val="nil"/>
              <w:right w:val="nil"/>
            </w:tcBorders>
            <w:shd w:val="clear" w:color="auto" w:fill="auto"/>
            <w:noWrap/>
            <w:vAlign w:val="bottom"/>
            <w:hideMark/>
          </w:tcPr>
          <w:p w14:paraId="0559B079" w14:textId="77777777" w:rsidR="00AD23B4" w:rsidRPr="00544157" w:rsidRDefault="00AD23B4" w:rsidP="00AD23B4">
            <w:pPr>
              <w:spacing w:after="0" w:line="240" w:lineRule="auto"/>
              <w:rPr>
                <w:rFonts w:ascii="Times New Roman" w:eastAsia="Times New Roman" w:hAnsi="Times New Roman" w:cs="Times New Roman"/>
                <w:color w:val="000000"/>
                <w:sz w:val="24"/>
                <w:szCs w:val="24"/>
              </w:rPr>
            </w:pPr>
          </w:p>
        </w:tc>
        <w:tc>
          <w:tcPr>
            <w:tcW w:w="1249" w:type="dxa"/>
            <w:tcBorders>
              <w:top w:val="nil"/>
              <w:left w:val="nil"/>
              <w:bottom w:val="nil"/>
              <w:right w:val="nil"/>
            </w:tcBorders>
            <w:shd w:val="clear" w:color="auto" w:fill="auto"/>
            <w:noWrap/>
            <w:vAlign w:val="bottom"/>
            <w:hideMark/>
          </w:tcPr>
          <w:p w14:paraId="5CD3BAB7" w14:textId="77777777" w:rsidR="00AD23B4" w:rsidRPr="00544157" w:rsidRDefault="00AD23B4" w:rsidP="00AD23B4">
            <w:pPr>
              <w:spacing w:after="0" w:line="240" w:lineRule="auto"/>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noWrap/>
            <w:vAlign w:val="bottom"/>
            <w:hideMark/>
          </w:tcPr>
          <w:p w14:paraId="41AEF77D" w14:textId="77777777" w:rsidR="00AD23B4" w:rsidRPr="00544157" w:rsidRDefault="00AD23B4" w:rsidP="00AD23B4">
            <w:pPr>
              <w:spacing w:after="0" w:line="240" w:lineRule="auto"/>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noWrap/>
            <w:vAlign w:val="bottom"/>
            <w:hideMark/>
          </w:tcPr>
          <w:p w14:paraId="70595DA9" w14:textId="77777777" w:rsidR="00AD23B4" w:rsidRPr="00544157" w:rsidRDefault="00AD23B4" w:rsidP="00AD23B4">
            <w:pPr>
              <w:spacing w:after="0" w:line="240" w:lineRule="auto"/>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noWrap/>
            <w:vAlign w:val="bottom"/>
            <w:hideMark/>
          </w:tcPr>
          <w:p w14:paraId="2F6B01C6" w14:textId="77777777" w:rsidR="00AD23B4" w:rsidRPr="00544157" w:rsidRDefault="00AD23B4" w:rsidP="00AD23B4">
            <w:pPr>
              <w:spacing w:after="0" w:line="240" w:lineRule="auto"/>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noWrap/>
            <w:vAlign w:val="bottom"/>
            <w:hideMark/>
          </w:tcPr>
          <w:p w14:paraId="372FD9A1" w14:textId="77777777" w:rsidR="00AD23B4" w:rsidRPr="00544157" w:rsidRDefault="00AD23B4" w:rsidP="00AD23B4">
            <w:pPr>
              <w:spacing w:after="0" w:line="240" w:lineRule="auto"/>
              <w:rPr>
                <w:rFonts w:ascii="Times New Roman" w:eastAsia="Times New Roman" w:hAnsi="Times New Roman" w:cs="Times New Roman"/>
                <w:sz w:val="24"/>
                <w:szCs w:val="24"/>
              </w:rPr>
            </w:pPr>
          </w:p>
        </w:tc>
        <w:tc>
          <w:tcPr>
            <w:tcW w:w="1832" w:type="dxa"/>
            <w:tcBorders>
              <w:top w:val="nil"/>
              <w:left w:val="nil"/>
              <w:bottom w:val="nil"/>
              <w:right w:val="nil"/>
            </w:tcBorders>
            <w:shd w:val="clear" w:color="auto" w:fill="auto"/>
            <w:noWrap/>
            <w:vAlign w:val="bottom"/>
            <w:hideMark/>
          </w:tcPr>
          <w:p w14:paraId="41BCC104" w14:textId="77777777" w:rsidR="00AD23B4" w:rsidRPr="00544157" w:rsidRDefault="00AD23B4" w:rsidP="00AD23B4">
            <w:pPr>
              <w:spacing w:after="0" w:line="240" w:lineRule="auto"/>
              <w:jc w:val="center"/>
              <w:rPr>
                <w:rFonts w:ascii="Times New Roman" w:eastAsia="Times New Roman" w:hAnsi="Times New Roman" w:cs="Times New Roman"/>
                <w:sz w:val="24"/>
                <w:szCs w:val="24"/>
              </w:rPr>
            </w:pPr>
          </w:p>
        </w:tc>
      </w:tr>
      <w:tr w:rsidR="00544157" w:rsidRPr="00811BEE" w14:paraId="4A3EC2A8" w14:textId="77777777" w:rsidTr="00BB78DC">
        <w:trPr>
          <w:trHeight w:val="290"/>
          <w:jc w:val="center"/>
        </w:trPr>
        <w:tc>
          <w:tcPr>
            <w:tcW w:w="4354" w:type="dxa"/>
            <w:tcBorders>
              <w:top w:val="nil"/>
              <w:left w:val="nil"/>
              <w:bottom w:val="nil"/>
              <w:right w:val="nil"/>
            </w:tcBorders>
            <w:shd w:val="clear" w:color="auto" w:fill="auto"/>
            <w:noWrap/>
            <w:vAlign w:val="bottom"/>
            <w:hideMark/>
          </w:tcPr>
          <w:p w14:paraId="654758B5" w14:textId="77777777" w:rsidR="00544157" w:rsidRPr="00811BEE" w:rsidRDefault="00544157" w:rsidP="00544157">
            <w:pPr>
              <w:spacing w:after="0" w:line="240" w:lineRule="auto"/>
              <w:rPr>
                <w:rFonts w:ascii="Times New Roman" w:eastAsia="Times New Roman" w:hAnsi="Times New Roman" w:cs="Times New Roman"/>
                <w:color w:val="000000"/>
                <w:sz w:val="24"/>
                <w:szCs w:val="24"/>
              </w:rPr>
            </w:pPr>
            <w:r w:rsidRPr="00811BEE">
              <w:rPr>
                <w:rFonts w:ascii="Times New Roman" w:eastAsia="Times New Roman" w:hAnsi="Times New Roman" w:cs="Times New Roman"/>
                <w:color w:val="000000"/>
                <w:sz w:val="24"/>
                <w:szCs w:val="24"/>
              </w:rPr>
              <w:t xml:space="preserve">        1) Raise BA share to 50%</w:t>
            </w:r>
          </w:p>
        </w:tc>
        <w:tc>
          <w:tcPr>
            <w:tcW w:w="1249" w:type="dxa"/>
            <w:tcBorders>
              <w:top w:val="nil"/>
              <w:left w:val="nil"/>
              <w:bottom w:val="nil"/>
              <w:right w:val="nil"/>
            </w:tcBorders>
            <w:shd w:val="clear" w:color="auto" w:fill="auto"/>
            <w:noWrap/>
            <w:vAlign w:val="bottom"/>
            <w:hideMark/>
          </w:tcPr>
          <w:p w14:paraId="7D231183" w14:textId="57FD0FC2" w:rsidR="00544157" w:rsidRPr="00544157" w:rsidRDefault="00544157" w:rsidP="00544157">
            <w:pPr>
              <w:spacing w:after="0" w:line="240" w:lineRule="auto"/>
              <w:jc w:val="right"/>
              <w:rPr>
                <w:rFonts w:ascii="Times New Roman" w:eastAsia="Times New Roman" w:hAnsi="Times New Roman" w:cs="Times New Roman"/>
                <w:color w:val="000000"/>
                <w:sz w:val="24"/>
                <w:szCs w:val="24"/>
              </w:rPr>
            </w:pPr>
            <w:r w:rsidRPr="00544157">
              <w:rPr>
                <w:rFonts w:ascii="Times New Roman" w:hAnsi="Times New Roman" w:cs="Times New Roman"/>
                <w:color w:val="000000"/>
                <w:sz w:val="24"/>
                <w:szCs w:val="24"/>
              </w:rPr>
              <w:t>2.32</w:t>
            </w:r>
          </w:p>
        </w:tc>
        <w:tc>
          <w:tcPr>
            <w:tcW w:w="1249" w:type="dxa"/>
            <w:tcBorders>
              <w:top w:val="nil"/>
              <w:left w:val="nil"/>
              <w:bottom w:val="nil"/>
              <w:right w:val="nil"/>
            </w:tcBorders>
            <w:shd w:val="clear" w:color="auto" w:fill="auto"/>
            <w:noWrap/>
            <w:vAlign w:val="bottom"/>
            <w:hideMark/>
          </w:tcPr>
          <w:p w14:paraId="4563BA43" w14:textId="508670E9" w:rsidR="00544157" w:rsidRPr="00544157" w:rsidRDefault="00544157" w:rsidP="00544157">
            <w:pPr>
              <w:spacing w:after="0" w:line="240" w:lineRule="auto"/>
              <w:jc w:val="right"/>
              <w:rPr>
                <w:rFonts w:ascii="Times New Roman" w:eastAsia="Times New Roman" w:hAnsi="Times New Roman" w:cs="Times New Roman"/>
                <w:color w:val="000000"/>
                <w:sz w:val="24"/>
                <w:szCs w:val="24"/>
              </w:rPr>
            </w:pPr>
            <w:r w:rsidRPr="00544157">
              <w:rPr>
                <w:rFonts w:ascii="Times New Roman" w:hAnsi="Times New Roman" w:cs="Times New Roman"/>
                <w:color w:val="000000"/>
                <w:sz w:val="24"/>
                <w:szCs w:val="24"/>
              </w:rPr>
              <w:t>5.56</w:t>
            </w:r>
          </w:p>
        </w:tc>
        <w:tc>
          <w:tcPr>
            <w:tcW w:w="1249" w:type="dxa"/>
            <w:tcBorders>
              <w:top w:val="nil"/>
              <w:left w:val="nil"/>
              <w:bottom w:val="nil"/>
              <w:right w:val="nil"/>
            </w:tcBorders>
            <w:shd w:val="clear" w:color="auto" w:fill="auto"/>
            <w:noWrap/>
            <w:vAlign w:val="bottom"/>
            <w:hideMark/>
          </w:tcPr>
          <w:p w14:paraId="1DED76EE" w14:textId="1F564D9F" w:rsidR="00544157" w:rsidRPr="00544157" w:rsidRDefault="00544157" w:rsidP="00544157">
            <w:pPr>
              <w:spacing w:after="0" w:line="240" w:lineRule="auto"/>
              <w:jc w:val="right"/>
              <w:rPr>
                <w:rFonts w:ascii="Times New Roman" w:eastAsia="Times New Roman" w:hAnsi="Times New Roman" w:cs="Times New Roman"/>
                <w:color w:val="000000"/>
                <w:sz w:val="24"/>
                <w:szCs w:val="24"/>
              </w:rPr>
            </w:pPr>
            <w:r w:rsidRPr="00544157">
              <w:rPr>
                <w:rFonts w:ascii="Times New Roman" w:hAnsi="Times New Roman" w:cs="Times New Roman"/>
                <w:color w:val="000000"/>
                <w:sz w:val="24"/>
                <w:szCs w:val="24"/>
              </w:rPr>
              <w:t>1.58</w:t>
            </w:r>
          </w:p>
        </w:tc>
        <w:tc>
          <w:tcPr>
            <w:tcW w:w="1249" w:type="dxa"/>
            <w:tcBorders>
              <w:top w:val="nil"/>
              <w:left w:val="nil"/>
              <w:bottom w:val="nil"/>
              <w:right w:val="nil"/>
            </w:tcBorders>
            <w:shd w:val="clear" w:color="auto" w:fill="auto"/>
            <w:noWrap/>
            <w:vAlign w:val="bottom"/>
            <w:hideMark/>
          </w:tcPr>
          <w:p w14:paraId="39F85317" w14:textId="2CB4DFA5" w:rsidR="00544157" w:rsidRPr="00544157" w:rsidRDefault="00544157" w:rsidP="00544157">
            <w:pPr>
              <w:spacing w:after="0" w:line="240" w:lineRule="auto"/>
              <w:jc w:val="right"/>
              <w:rPr>
                <w:rFonts w:ascii="Times New Roman" w:eastAsia="Times New Roman" w:hAnsi="Times New Roman" w:cs="Times New Roman"/>
                <w:color w:val="000000"/>
                <w:sz w:val="24"/>
                <w:szCs w:val="24"/>
              </w:rPr>
            </w:pPr>
            <w:r w:rsidRPr="00544157">
              <w:rPr>
                <w:rFonts w:ascii="Times New Roman" w:hAnsi="Times New Roman" w:cs="Times New Roman"/>
                <w:color w:val="000000"/>
                <w:sz w:val="24"/>
                <w:szCs w:val="24"/>
              </w:rPr>
              <w:t>3.79</w:t>
            </w:r>
          </w:p>
        </w:tc>
        <w:tc>
          <w:tcPr>
            <w:tcW w:w="1249" w:type="dxa"/>
            <w:tcBorders>
              <w:top w:val="nil"/>
              <w:left w:val="nil"/>
              <w:bottom w:val="nil"/>
              <w:right w:val="nil"/>
            </w:tcBorders>
            <w:shd w:val="clear" w:color="auto" w:fill="auto"/>
            <w:noWrap/>
            <w:vAlign w:val="bottom"/>
            <w:hideMark/>
          </w:tcPr>
          <w:p w14:paraId="06986FE7" w14:textId="0F29A9C1" w:rsidR="00544157" w:rsidRPr="00544157" w:rsidRDefault="00544157" w:rsidP="00544157">
            <w:pPr>
              <w:spacing w:after="0" w:line="240" w:lineRule="auto"/>
              <w:jc w:val="right"/>
              <w:rPr>
                <w:rFonts w:ascii="Times New Roman" w:eastAsia="Times New Roman" w:hAnsi="Times New Roman" w:cs="Times New Roman"/>
                <w:color w:val="000000"/>
                <w:sz w:val="24"/>
                <w:szCs w:val="24"/>
              </w:rPr>
            </w:pPr>
            <w:r w:rsidRPr="00544157">
              <w:rPr>
                <w:rFonts w:ascii="Times New Roman" w:hAnsi="Times New Roman" w:cs="Times New Roman"/>
                <w:color w:val="000000"/>
                <w:sz w:val="24"/>
                <w:szCs w:val="24"/>
              </w:rPr>
              <w:t>2.39</w:t>
            </w:r>
          </w:p>
        </w:tc>
        <w:tc>
          <w:tcPr>
            <w:tcW w:w="1249" w:type="dxa"/>
            <w:tcBorders>
              <w:top w:val="nil"/>
              <w:left w:val="nil"/>
              <w:bottom w:val="nil"/>
              <w:right w:val="nil"/>
            </w:tcBorders>
            <w:shd w:val="clear" w:color="auto" w:fill="auto"/>
            <w:noWrap/>
            <w:vAlign w:val="bottom"/>
            <w:hideMark/>
          </w:tcPr>
          <w:p w14:paraId="21099C87" w14:textId="6850FB46" w:rsidR="00544157" w:rsidRPr="00544157" w:rsidRDefault="00544157" w:rsidP="00544157">
            <w:pPr>
              <w:spacing w:after="0" w:line="240" w:lineRule="auto"/>
              <w:jc w:val="right"/>
              <w:rPr>
                <w:rFonts w:ascii="Times New Roman" w:eastAsia="Times New Roman" w:hAnsi="Times New Roman" w:cs="Times New Roman"/>
                <w:color w:val="000000"/>
                <w:sz w:val="24"/>
                <w:szCs w:val="24"/>
              </w:rPr>
            </w:pPr>
            <w:r w:rsidRPr="00544157">
              <w:rPr>
                <w:rFonts w:ascii="Times New Roman" w:hAnsi="Times New Roman" w:cs="Times New Roman"/>
                <w:color w:val="000000"/>
                <w:sz w:val="24"/>
                <w:szCs w:val="24"/>
              </w:rPr>
              <w:t>2.86</w:t>
            </w:r>
          </w:p>
        </w:tc>
        <w:tc>
          <w:tcPr>
            <w:tcW w:w="1832" w:type="dxa"/>
            <w:tcBorders>
              <w:top w:val="nil"/>
              <w:left w:val="nil"/>
              <w:bottom w:val="nil"/>
              <w:right w:val="nil"/>
            </w:tcBorders>
            <w:shd w:val="clear" w:color="auto" w:fill="auto"/>
            <w:noWrap/>
            <w:vAlign w:val="bottom"/>
            <w:hideMark/>
          </w:tcPr>
          <w:p w14:paraId="08C6B5F2" w14:textId="63118C30" w:rsidR="00544157" w:rsidRPr="00544157" w:rsidRDefault="00544157" w:rsidP="00544157">
            <w:pPr>
              <w:spacing w:after="0" w:line="240" w:lineRule="auto"/>
              <w:jc w:val="center"/>
              <w:rPr>
                <w:rFonts w:ascii="Times New Roman" w:eastAsia="Times New Roman" w:hAnsi="Times New Roman" w:cs="Times New Roman"/>
                <w:color w:val="000000"/>
                <w:sz w:val="24"/>
                <w:szCs w:val="24"/>
              </w:rPr>
            </w:pPr>
            <w:r w:rsidRPr="00544157">
              <w:rPr>
                <w:rFonts w:ascii="Times New Roman" w:hAnsi="Times New Roman" w:cs="Times New Roman"/>
                <w:color w:val="000000"/>
                <w:sz w:val="24"/>
                <w:szCs w:val="24"/>
              </w:rPr>
              <w:t>0.402</w:t>
            </w:r>
          </w:p>
        </w:tc>
      </w:tr>
      <w:tr w:rsidR="00544157" w:rsidRPr="00811BEE" w14:paraId="208C6D8B" w14:textId="77777777" w:rsidTr="00BB78DC">
        <w:trPr>
          <w:trHeight w:val="290"/>
          <w:jc w:val="center"/>
        </w:trPr>
        <w:tc>
          <w:tcPr>
            <w:tcW w:w="4354" w:type="dxa"/>
            <w:tcBorders>
              <w:top w:val="nil"/>
              <w:left w:val="nil"/>
              <w:bottom w:val="nil"/>
              <w:right w:val="nil"/>
            </w:tcBorders>
            <w:shd w:val="clear" w:color="auto" w:fill="auto"/>
            <w:noWrap/>
            <w:vAlign w:val="bottom"/>
            <w:hideMark/>
          </w:tcPr>
          <w:p w14:paraId="64BE7448" w14:textId="77777777" w:rsidR="00544157" w:rsidRPr="00811BEE" w:rsidRDefault="00544157" w:rsidP="00544157">
            <w:pPr>
              <w:spacing w:after="0" w:line="240" w:lineRule="auto"/>
              <w:rPr>
                <w:rFonts w:ascii="Times New Roman" w:eastAsia="Times New Roman" w:hAnsi="Times New Roman" w:cs="Times New Roman"/>
                <w:color w:val="000000"/>
                <w:sz w:val="24"/>
                <w:szCs w:val="24"/>
              </w:rPr>
            </w:pPr>
            <w:r w:rsidRPr="00811BEE">
              <w:rPr>
                <w:rFonts w:ascii="Times New Roman" w:eastAsia="Times New Roman" w:hAnsi="Times New Roman" w:cs="Times New Roman"/>
                <w:color w:val="000000"/>
                <w:sz w:val="24"/>
                <w:szCs w:val="24"/>
              </w:rPr>
              <w:t xml:space="preserve">        2) + Raise AA share to 15%</w:t>
            </w:r>
          </w:p>
        </w:tc>
        <w:tc>
          <w:tcPr>
            <w:tcW w:w="1249" w:type="dxa"/>
            <w:tcBorders>
              <w:top w:val="nil"/>
              <w:left w:val="nil"/>
              <w:bottom w:val="nil"/>
              <w:right w:val="nil"/>
            </w:tcBorders>
            <w:shd w:val="clear" w:color="auto" w:fill="auto"/>
            <w:noWrap/>
            <w:vAlign w:val="bottom"/>
            <w:hideMark/>
          </w:tcPr>
          <w:p w14:paraId="797FD268" w14:textId="1FDBD5A9" w:rsidR="00544157" w:rsidRPr="00544157" w:rsidRDefault="00544157" w:rsidP="00544157">
            <w:pPr>
              <w:spacing w:after="0" w:line="240" w:lineRule="auto"/>
              <w:jc w:val="right"/>
              <w:rPr>
                <w:rFonts w:ascii="Times New Roman" w:eastAsia="Times New Roman" w:hAnsi="Times New Roman" w:cs="Times New Roman"/>
                <w:color w:val="000000"/>
                <w:sz w:val="24"/>
                <w:szCs w:val="24"/>
              </w:rPr>
            </w:pPr>
            <w:r w:rsidRPr="00544157">
              <w:rPr>
                <w:rFonts w:ascii="Times New Roman" w:hAnsi="Times New Roman" w:cs="Times New Roman"/>
                <w:color w:val="000000"/>
                <w:sz w:val="24"/>
                <w:szCs w:val="24"/>
              </w:rPr>
              <w:t>2.31</w:t>
            </w:r>
          </w:p>
        </w:tc>
        <w:tc>
          <w:tcPr>
            <w:tcW w:w="1249" w:type="dxa"/>
            <w:tcBorders>
              <w:top w:val="nil"/>
              <w:left w:val="nil"/>
              <w:bottom w:val="nil"/>
              <w:right w:val="nil"/>
            </w:tcBorders>
            <w:shd w:val="clear" w:color="auto" w:fill="auto"/>
            <w:noWrap/>
            <w:vAlign w:val="bottom"/>
            <w:hideMark/>
          </w:tcPr>
          <w:p w14:paraId="37B7E155" w14:textId="5A38EB1A" w:rsidR="00544157" w:rsidRPr="00544157" w:rsidRDefault="00544157" w:rsidP="00544157">
            <w:pPr>
              <w:spacing w:after="0" w:line="240" w:lineRule="auto"/>
              <w:jc w:val="right"/>
              <w:rPr>
                <w:rFonts w:ascii="Times New Roman" w:eastAsia="Times New Roman" w:hAnsi="Times New Roman" w:cs="Times New Roman"/>
                <w:color w:val="000000"/>
                <w:sz w:val="24"/>
                <w:szCs w:val="24"/>
              </w:rPr>
            </w:pPr>
            <w:r w:rsidRPr="00544157">
              <w:rPr>
                <w:rFonts w:ascii="Times New Roman" w:hAnsi="Times New Roman" w:cs="Times New Roman"/>
                <w:color w:val="000000"/>
                <w:sz w:val="24"/>
                <w:szCs w:val="24"/>
              </w:rPr>
              <w:t>5.39</w:t>
            </w:r>
          </w:p>
        </w:tc>
        <w:tc>
          <w:tcPr>
            <w:tcW w:w="1249" w:type="dxa"/>
            <w:tcBorders>
              <w:top w:val="nil"/>
              <w:left w:val="nil"/>
              <w:bottom w:val="nil"/>
              <w:right w:val="nil"/>
            </w:tcBorders>
            <w:shd w:val="clear" w:color="auto" w:fill="auto"/>
            <w:noWrap/>
            <w:vAlign w:val="bottom"/>
            <w:hideMark/>
          </w:tcPr>
          <w:p w14:paraId="244C55F8" w14:textId="1F23B7C5" w:rsidR="00544157" w:rsidRPr="00544157" w:rsidRDefault="00544157" w:rsidP="00544157">
            <w:pPr>
              <w:spacing w:after="0" w:line="240" w:lineRule="auto"/>
              <w:jc w:val="right"/>
              <w:rPr>
                <w:rFonts w:ascii="Times New Roman" w:eastAsia="Times New Roman" w:hAnsi="Times New Roman" w:cs="Times New Roman"/>
                <w:color w:val="000000"/>
                <w:sz w:val="24"/>
                <w:szCs w:val="24"/>
              </w:rPr>
            </w:pPr>
            <w:r w:rsidRPr="00544157">
              <w:rPr>
                <w:rFonts w:ascii="Times New Roman" w:hAnsi="Times New Roman" w:cs="Times New Roman"/>
                <w:color w:val="000000"/>
                <w:sz w:val="24"/>
                <w:szCs w:val="24"/>
              </w:rPr>
              <w:t>1.58</w:t>
            </w:r>
          </w:p>
        </w:tc>
        <w:tc>
          <w:tcPr>
            <w:tcW w:w="1249" w:type="dxa"/>
            <w:tcBorders>
              <w:top w:val="nil"/>
              <w:left w:val="nil"/>
              <w:bottom w:val="nil"/>
              <w:right w:val="nil"/>
            </w:tcBorders>
            <w:shd w:val="clear" w:color="auto" w:fill="auto"/>
            <w:noWrap/>
            <w:vAlign w:val="bottom"/>
            <w:hideMark/>
          </w:tcPr>
          <w:p w14:paraId="1F8AC7A3" w14:textId="19FDA4C8" w:rsidR="00544157" w:rsidRPr="00544157" w:rsidRDefault="00544157" w:rsidP="00544157">
            <w:pPr>
              <w:spacing w:after="0" w:line="240" w:lineRule="auto"/>
              <w:jc w:val="right"/>
              <w:rPr>
                <w:rFonts w:ascii="Times New Roman" w:eastAsia="Times New Roman" w:hAnsi="Times New Roman" w:cs="Times New Roman"/>
                <w:color w:val="000000"/>
                <w:sz w:val="24"/>
                <w:szCs w:val="24"/>
              </w:rPr>
            </w:pPr>
            <w:r w:rsidRPr="00544157">
              <w:rPr>
                <w:rFonts w:ascii="Times New Roman" w:hAnsi="Times New Roman" w:cs="Times New Roman"/>
                <w:color w:val="000000"/>
                <w:sz w:val="24"/>
                <w:szCs w:val="24"/>
              </w:rPr>
              <w:t>3.68</w:t>
            </w:r>
          </w:p>
        </w:tc>
        <w:tc>
          <w:tcPr>
            <w:tcW w:w="1249" w:type="dxa"/>
            <w:tcBorders>
              <w:top w:val="nil"/>
              <w:left w:val="nil"/>
              <w:bottom w:val="nil"/>
              <w:right w:val="nil"/>
            </w:tcBorders>
            <w:shd w:val="clear" w:color="auto" w:fill="auto"/>
            <w:noWrap/>
            <w:vAlign w:val="bottom"/>
            <w:hideMark/>
          </w:tcPr>
          <w:p w14:paraId="2A198910" w14:textId="552ECBB4" w:rsidR="00544157" w:rsidRPr="00544157" w:rsidRDefault="00544157" w:rsidP="00544157">
            <w:pPr>
              <w:spacing w:after="0" w:line="240" w:lineRule="auto"/>
              <w:jc w:val="right"/>
              <w:rPr>
                <w:rFonts w:ascii="Times New Roman" w:eastAsia="Times New Roman" w:hAnsi="Times New Roman" w:cs="Times New Roman"/>
                <w:color w:val="000000"/>
                <w:sz w:val="24"/>
                <w:szCs w:val="24"/>
              </w:rPr>
            </w:pPr>
            <w:r w:rsidRPr="00544157">
              <w:rPr>
                <w:rFonts w:ascii="Times New Roman" w:hAnsi="Times New Roman" w:cs="Times New Roman"/>
                <w:color w:val="000000"/>
                <w:sz w:val="24"/>
                <w:szCs w:val="24"/>
              </w:rPr>
              <w:t>2.33</w:t>
            </w:r>
          </w:p>
        </w:tc>
        <w:tc>
          <w:tcPr>
            <w:tcW w:w="1249" w:type="dxa"/>
            <w:tcBorders>
              <w:top w:val="nil"/>
              <w:left w:val="nil"/>
              <w:bottom w:val="nil"/>
              <w:right w:val="nil"/>
            </w:tcBorders>
            <w:shd w:val="clear" w:color="auto" w:fill="auto"/>
            <w:noWrap/>
            <w:vAlign w:val="bottom"/>
            <w:hideMark/>
          </w:tcPr>
          <w:p w14:paraId="30AC0447" w14:textId="46B1F9A1" w:rsidR="00544157" w:rsidRPr="00544157" w:rsidRDefault="00544157" w:rsidP="00544157">
            <w:pPr>
              <w:spacing w:after="0" w:line="240" w:lineRule="auto"/>
              <w:jc w:val="right"/>
              <w:rPr>
                <w:rFonts w:ascii="Times New Roman" w:eastAsia="Times New Roman" w:hAnsi="Times New Roman" w:cs="Times New Roman"/>
                <w:color w:val="000000"/>
                <w:sz w:val="24"/>
                <w:szCs w:val="24"/>
              </w:rPr>
            </w:pPr>
            <w:r w:rsidRPr="00544157">
              <w:rPr>
                <w:rFonts w:ascii="Times New Roman" w:hAnsi="Times New Roman" w:cs="Times New Roman"/>
                <w:color w:val="000000"/>
                <w:sz w:val="24"/>
                <w:szCs w:val="24"/>
              </w:rPr>
              <w:t>2.86</w:t>
            </w:r>
          </w:p>
        </w:tc>
        <w:tc>
          <w:tcPr>
            <w:tcW w:w="1832" w:type="dxa"/>
            <w:tcBorders>
              <w:top w:val="nil"/>
              <w:left w:val="nil"/>
              <w:bottom w:val="nil"/>
              <w:right w:val="nil"/>
            </w:tcBorders>
            <w:shd w:val="clear" w:color="auto" w:fill="auto"/>
            <w:noWrap/>
            <w:vAlign w:val="bottom"/>
            <w:hideMark/>
          </w:tcPr>
          <w:p w14:paraId="522CECFC" w14:textId="2138C692" w:rsidR="00544157" w:rsidRPr="00544157" w:rsidRDefault="00544157" w:rsidP="00544157">
            <w:pPr>
              <w:spacing w:after="0" w:line="240" w:lineRule="auto"/>
              <w:jc w:val="center"/>
              <w:rPr>
                <w:rFonts w:ascii="Times New Roman" w:eastAsia="Times New Roman" w:hAnsi="Times New Roman" w:cs="Times New Roman"/>
                <w:color w:val="000000"/>
                <w:sz w:val="24"/>
                <w:szCs w:val="24"/>
              </w:rPr>
            </w:pPr>
            <w:r w:rsidRPr="00544157">
              <w:rPr>
                <w:rFonts w:ascii="Times New Roman" w:hAnsi="Times New Roman" w:cs="Times New Roman"/>
                <w:color w:val="000000"/>
                <w:sz w:val="24"/>
                <w:szCs w:val="24"/>
              </w:rPr>
              <w:t>0.399</w:t>
            </w:r>
          </w:p>
        </w:tc>
      </w:tr>
      <w:tr w:rsidR="00544157" w:rsidRPr="00811BEE" w14:paraId="7511E441" w14:textId="77777777" w:rsidTr="00BB78DC">
        <w:trPr>
          <w:trHeight w:val="290"/>
          <w:jc w:val="center"/>
        </w:trPr>
        <w:tc>
          <w:tcPr>
            <w:tcW w:w="4354" w:type="dxa"/>
            <w:tcBorders>
              <w:top w:val="nil"/>
              <w:left w:val="nil"/>
              <w:bottom w:val="nil"/>
              <w:right w:val="nil"/>
            </w:tcBorders>
            <w:shd w:val="clear" w:color="auto" w:fill="auto"/>
            <w:noWrap/>
            <w:vAlign w:val="bottom"/>
            <w:hideMark/>
          </w:tcPr>
          <w:p w14:paraId="465339D9" w14:textId="77777777" w:rsidR="00544157" w:rsidRPr="00811BEE" w:rsidRDefault="00544157" w:rsidP="00544157">
            <w:pPr>
              <w:spacing w:after="0" w:line="240" w:lineRule="auto"/>
              <w:rPr>
                <w:rFonts w:ascii="Times New Roman" w:eastAsia="Times New Roman" w:hAnsi="Times New Roman" w:cs="Times New Roman"/>
                <w:color w:val="000000"/>
                <w:sz w:val="24"/>
                <w:szCs w:val="24"/>
              </w:rPr>
            </w:pPr>
            <w:r w:rsidRPr="00811BEE">
              <w:rPr>
                <w:rFonts w:ascii="Times New Roman" w:eastAsia="Times New Roman" w:hAnsi="Times New Roman" w:cs="Times New Roman"/>
                <w:color w:val="000000"/>
                <w:sz w:val="24"/>
                <w:szCs w:val="24"/>
              </w:rPr>
              <w:t xml:space="preserve">        3) 60% BA share, 20% AA share</w:t>
            </w:r>
          </w:p>
        </w:tc>
        <w:tc>
          <w:tcPr>
            <w:tcW w:w="1249" w:type="dxa"/>
            <w:tcBorders>
              <w:top w:val="nil"/>
              <w:left w:val="nil"/>
              <w:bottom w:val="nil"/>
              <w:right w:val="nil"/>
            </w:tcBorders>
            <w:shd w:val="clear" w:color="auto" w:fill="auto"/>
            <w:noWrap/>
            <w:vAlign w:val="bottom"/>
            <w:hideMark/>
          </w:tcPr>
          <w:p w14:paraId="01DF1732" w14:textId="54F37665" w:rsidR="00544157" w:rsidRPr="00544157" w:rsidRDefault="00544157" w:rsidP="00544157">
            <w:pPr>
              <w:spacing w:after="0" w:line="240" w:lineRule="auto"/>
              <w:jc w:val="right"/>
              <w:rPr>
                <w:rFonts w:ascii="Times New Roman" w:eastAsia="Times New Roman" w:hAnsi="Times New Roman" w:cs="Times New Roman"/>
                <w:color w:val="000000"/>
                <w:sz w:val="24"/>
                <w:szCs w:val="24"/>
              </w:rPr>
            </w:pPr>
            <w:r w:rsidRPr="00544157">
              <w:rPr>
                <w:rFonts w:ascii="Times New Roman" w:hAnsi="Times New Roman" w:cs="Times New Roman"/>
                <w:color w:val="000000"/>
                <w:sz w:val="24"/>
                <w:szCs w:val="24"/>
              </w:rPr>
              <w:t>2.17</w:t>
            </w:r>
          </w:p>
        </w:tc>
        <w:tc>
          <w:tcPr>
            <w:tcW w:w="1249" w:type="dxa"/>
            <w:tcBorders>
              <w:top w:val="nil"/>
              <w:left w:val="nil"/>
              <w:bottom w:val="nil"/>
              <w:right w:val="nil"/>
            </w:tcBorders>
            <w:shd w:val="clear" w:color="auto" w:fill="auto"/>
            <w:noWrap/>
            <w:vAlign w:val="bottom"/>
            <w:hideMark/>
          </w:tcPr>
          <w:p w14:paraId="66899913" w14:textId="1B0FB602" w:rsidR="00544157" w:rsidRPr="00544157" w:rsidRDefault="00544157" w:rsidP="00544157">
            <w:pPr>
              <w:spacing w:after="0" w:line="240" w:lineRule="auto"/>
              <w:jc w:val="right"/>
              <w:rPr>
                <w:rFonts w:ascii="Times New Roman" w:eastAsia="Times New Roman" w:hAnsi="Times New Roman" w:cs="Times New Roman"/>
                <w:color w:val="000000"/>
                <w:sz w:val="24"/>
                <w:szCs w:val="24"/>
              </w:rPr>
            </w:pPr>
            <w:r w:rsidRPr="00544157">
              <w:rPr>
                <w:rFonts w:ascii="Times New Roman" w:hAnsi="Times New Roman" w:cs="Times New Roman"/>
                <w:color w:val="000000"/>
                <w:sz w:val="24"/>
                <w:szCs w:val="24"/>
              </w:rPr>
              <w:t>5.04</w:t>
            </w:r>
          </w:p>
        </w:tc>
        <w:tc>
          <w:tcPr>
            <w:tcW w:w="1249" w:type="dxa"/>
            <w:tcBorders>
              <w:top w:val="nil"/>
              <w:left w:val="nil"/>
              <w:bottom w:val="nil"/>
              <w:right w:val="nil"/>
            </w:tcBorders>
            <w:shd w:val="clear" w:color="auto" w:fill="auto"/>
            <w:noWrap/>
            <w:vAlign w:val="bottom"/>
            <w:hideMark/>
          </w:tcPr>
          <w:p w14:paraId="47C26BC9" w14:textId="7EDACA0F" w:rsidR="00544157" w:rsidRPr="00544157" w:rsidRDefault="00544157" w:rsidP="00544157">
            <w:pPr>
              <w:spacing w:after="0" w:line="240" w:lineRule="auto"/>
              <w:jc w:val="right"/>
              <w:rPr>
                <w:rFonts w:ascii="Times New Roman" w:eastAsia="Times New Roman" w:hAnsi="Times New Roman" w:cs="Times New Roman"/>
                <w:color w:val="000000"/>
                <w:sz w:val="24"/>
                <w:szCs w:val="24"/>
              </w:rPr>
            </w:pPr>
            <w:r w:rsidRPr="00544157">
              <w:rPr>
                <w:rFonts w:ascii="Times New Roman" w:hAnsi="Times New Roman" w:cs="Times New Roman"/>
                <w:color w:val="000000"/>
                <w:sz w:val="24"/>
                <w:szCs w:val="24"/>
              </w:rPr>
              <w:t>1.49</w:t>
            </w:r>
          </w:p>
        </w:tc>
        <w:tc>
          <w:tcPr>
            <w:tcW w:w="1249" w:type="dxa"/>
            <w:tcBorders>
              <w:top w:val="nil"/>
              <w:left w:val="nil"/>
              <w:bottom w:val="nil"/>
              <w:right w:val="nil"/>
            </w:tcBorders>
            <w:shd w:val="clear" w:color="auto" w:fill="auto"/>
            <w:noWrap/>
            <w:vAlign w:val="bottom"/>
            <w:hideMark/>
          </w:tcPr>
          <w:p w14:paraId="08ADCE7F" w14:textId="0B3646EF" w:rsidR="00544157" w:rsidRPr="00544157" w:rsidRDefault="00544157" w:rsidP="00544157">
            <w:pPr>
              <w:spacing w:after="0" w:line="240" w:lineRule="auto"/>
              <w:jc w:val="right"/>
              <w:rPr>
                <w:rFonts w:ascii="Times New Roman" w:eastAsia="Times New Roman" w:hAnsi="Times New Roman" w:cs="Times New Roman"/>
                <w:color w:val="000000"/>
                <w:sz w:val="24"/>
                <w:szCs w:val="24"/>
              </w:rPr>
            </w:pPr>
            <w:r w:rsidRPr="00544157">
              <w:rPr>
                <w:rFonts w:ascii="Times New Roman" w:hAnsi="Times New Roman" w:cs="Times New Roman"/>
                <w:color w:val="000000"/>
                <w:sz w:val="24"/>
                <w:szCs w:val="24"/>
              </w:rPr>
              <w:t>3.46</w:t>
            </w:r>
          </w:p>
        </w:tc>
        <w:tc>
          <w:tcPr>
            <w:tcW w:w="1249" w:type="dxa"/>
            <w:tcBorders>
              <w:top w:val="nil"/>
              <w:left w:val="nil"/>
              <w:bottom w:val="nil"/>
              <w:right w:val="nil"/>
            </w:tcBorders>
            <w:shd w:val="clear" w:color="auto" w:fill="auto"/>
            <w:noWrap/>
            <w:vAlign w:val="bottom"/>
            <w:hideMark/>
          </w:tcPr>
          <w:p w14:paraId="0ED794C3" w14:textId="49675C76" w:rsidR="00544157" w:rsidRPr="00544157" w:rsidRDefault="00544157" w:rsidP="00544157">
            <w:pPr>
              <w:spacing w:after="0" w:line="240" w:lineRule="auto"/>
              <w:jc w:val="right"/>
              <w:rPr>
                <w:rFonts w:ascii="Times New Roman" w:eastAsia="Times New Roman" w:hAnsi="Times New Roman" w:cs="Times New Roman"/>
                <w:color w:val="000000"/>
                <w:sz w:val="24"/>
                <w:szCs w:val="24"/>
              </w:rPr>
            </w:pPr>
            <w:r w:rsidRPr="00544157">
              <w:rPr>
                <w:rFonts w:ascii="Times New Roman" w:hAnsi="Times New Roman" w:cs="Times New Roman"/>
                <w:color w:val="000000"/>
                <w:sz w:val="24"/>
                <w:szCs w:val="24"/>
              </w:rPr>
              <w:t>2.32</w:t>
            </w:r>
          </w:p>
        </w:tc>
        <w:tc>
          <w:tcPr>
            <w:tcW w:w="1249" w:type="dxa"/>
            <w:tcBorders>
              <w:top w:val="nil"/>
              <w:left w:val="nil"/>
              <w:bottom w:val="nil"/>
              <w:right w:val="nil"/>
            </w:tcBorders>
            <w:shd w:val="clear" w:color="auto" w:fill="auto"/>
            <w:noWrap/>
            <w:vAlign w:val="bottom"/>
            <w:hideMark/>
          </w:tcPr>
          <w:p w14:paraId="7F72C046" w14:textId="14965D81" w:rsidR="00544157" w:rsidRPr="00544157" w:rsidRDefault="00544157" w:rsidP="00544157">
            <w:pPr>
              <w:spacing w:after="0" w:line="240" w:lineRule="auto"/>
              <w:jc w:val="right"/>
              <w:rPr>
                <w:rFonts w:ascii="Times New Roman" w:eastAsia="Times New Roman" w:hAnsi="Times New Roman" w:cs="Times New Roman"/>
                <w:color w:val="000000"/>
                <w:sz w:val="24"/>
                <w:szCs w:val="24"/>
              </w:rPr>
            </w:pPr>
            <w:r w:rsidRPr="00544157">
              <w:rPr>
                <w:rFonts w:ascii="Times New Roman" w:hAnsi="Times New Roman" w:cs="Times New Roman"/>
                <w:color w:val="000000"/>
                <w:sz w:val="24"/>
                <w:szCs w:val="24"/>
              </w:rPr>
              <w:t>2.67</w:t>
            </w:r>
          </w:p>
        </w:tc>
        <w:tc>
          <w:tcPr>
            <w:tcW w:w="1832" w:type="dxa"/>
            <w:tcBorders>
              <w:top w:val="nil"/>
              <w:left w:val="nil"/>
              <w:bottom w:val="nil"/>
              <w:right w:val="nil"/>
            </w:tcBorders>
            <w:shd w:val="clear" w:color="auto" w:fill="auto"/>
            <w:noWrap/>
            <w:vAlign w:val="bottom"/>
            <w:hideMark/>
          </w:tcPr>
          <w:p w14:paraId="7047298C" w14:textId="474E60A6" w:rsidR="00544157" w:rsidRPr="00544157" w:rsidRDefault="00544157" w:rsidP="00544157">
            <w:pPr>
              <w:spacing w:after="0" w:line="240" w:lineRule="auto"/>
              <w:jc w:val="center"/>
              <w:rPr>
                <w:rFonts w:ascii="Times New Roman" w:eastAsia="Times New Roman" w:hAnsi="Times New Roman" w:cs="Times New Roman"/>
                <w:color w:val="000000"/>
                <w:sz w:val="24"/>
                <w:szCs w:val="24"/>
              </w:rPr>
            </w:pPr>
            <w:r w:rsidRPr="00544157">
              <w:rPr>
                <w:rFonts w:ascii="Times New Roman" w:hAnsi="Times New Roman" w:cs="Times New Roman"/>
                <w:color w:val="000000"/>
                <w:sz w:val="24"/>
                <w:szCs w:val="24"/>
              </w:rPr>
              <w:t>0.385</w:t>
            </w:r>
          </w:p>
        </w:tc>
      </w:tr>
      <w:tr w:rsidR="000F7C00" w:rsidRPr="00811BEE" w14:paraId="6D1389D4" w14:textId="77777777" w:rsidTr="00211FA3">
        <w:trPr>
          <w:trHeight w:val="150"/>
          <w:jc w:val="center"/>
        </w:trPr>
        <w:tc>
          <w:tcPr>
            <w:tcW w:w="4354" w:type="dxa"/>
            <w:tcBorders>
              <w:top w:val="nil"/>
              <w:left w:val="nil"/>
              <w:bottom w:val="single" w:sz="4" w:space="0" w:color="auto"/>
              <w:right w:val="nil"/>
            </w:tcBorders>
            <w:shd w:val="clear" w:color="auto" w:fill="auto"/>
            <w:noWrap/>
            <w:vAlign w:val="bottom"/>
            <w:hideMark/>
          </w:tcPr>
          <w:p w14:paraId="4A6E9051" w14:textId="77777777" w:rsidR="000F7C00" w:rsidRPr="00811BEE" w:rsidRDefault="000F7C00" w:rsidP="00211FA3">
            <w:pPr>
              <w:spacing w:after="0" w:line="240" w:lineRule="auto"/>
              <w:jc w:val="right"/>
              <w:rPr>
                <w:rFonts w:ascii="Times New Roman" w:eastAsia="Times New Roman" w:hAnsi="Times New Roman" w:cs="Times New Roman"/>
                <w:color w:val="000000"/>
              </w:rPr>
            </w:pPr>
            <w:r w:rsidRPr="00811BEE">
              <w:rPr>
                <w:rFonts w:ascii="Times New Roman" w:eastAsia="Times New Roman" w:hAnsi="Times New Roman" w:cs="Times New Roman"/>
                <w:color w:val="000000"/>
              </w:rPr>
              <w:t> </w:t>
            </w:r>
          </w:p>
        </w:tc>
        <w:tc>
          <w:tcPr>
            <w:tcW w:w="1249" w:type="dxa"/>
            <w:tcBorders>
              <w:top w:val="nil"/>
              <w:left w:val="nil"/>
              <w:bottom w:val="single" w:sz="4" w:space="0" w:color="auto"/>
              <w:right w:val="nil"/>
            </w:tcBorders>
            <w:shd w:val="clear" w:color="auto" w:fill="auto"/>
            <w:noWrap/>
            <w:vAlign w:val="bottom"/>
            <w:hideMark/>
          </w:tcPr>
          <w:p w14:paraId="0EA35343" w14:textId="77777777" w:rsidR="000F7C00" w:rsidRPr="00811BEE" w:rsidRDefault="000F7C00" w:rsidP="00211FA3">
            <w:pPr>
              <w:spacing w:after="0" w:line="240" w:lineRule="auto"/>
              <w:jc w:val="right"/>
              <w:rPr>
                <w:rFonts w:ascii="Times New Roman" w:eastAsia="Times New Roman" w:hAnsi="Times New Roman" w:cs="Times New Roman"/>
                <w:color w:val="000000"/>
              </w:rPr>
            </w:pPr>
            <w:r w:rsidRPr="00811BEE">
              <w:rPr>
                <w:rFonts w:ascii="Times New Roman" w:eastAsia="Times New Roman" w:hAnsi="Times New Roman" w:cs="Times New Roman"/>
                <w:color w:val="000000"/>
              </w:rPr>
              <w:t> </w:t>
            </w:r>
          </w:p>
        </w:tc>
        <w:tc>
          <w:tcPr>
            <w:tcW w:w="1249" w:type="dxa"/>
            <w:tcBorders>
              <w:top w:val="nil"/>
              <w:left w:val="nil"/>
              <w:bottom w:val="single" w:sz="4" w:space="0" w:color="auto"/>
              <w:right w:val="nil"/>
            </w:tcBorders>
            <w:shd w:val="clear" w:color="auto" w:fill="auto"/>
            <w:noWrap/>
            <w:vAlign w:val="bottom"/>
            <w:hideMark/>
          </w:tcPr>
          <w:p w14:paraId="2ABDF108" w14:textId="77777777" w:rsidR="000F7C00" w:rsidRPr="00811BEE" w:rsidRDefault="000F7C00" w:rsidP="00211FA3">
            <w:pPr>
              <w:spacing w:after="0" w:line="240" w:lineRule="auto"/>
              <w:jc w:val="right"/>
              <w:rPr>
                <w:rFonts w:ascii="Times New Roman" w:eastAsia="Times New Roman" w:hAnsi="Times New Roman" w:cs="Times New Roman"/>
                <w:color w:val="000000"/>
              </w:rPr>
            </w:pPr>
            <w:r w:rsidRPr="00811BEE">
              <w:rPr>
                <w:rFonts w:ascii="Times New Roman" w:eastAsia="Times New Roman" w:hAnsi="Times New Roman" w:cs="Times New Roman"/>
                <w:color w:val="000000"/>
              </w:rPr>
              <w:t> </w:t>
            </w:r>
          </w:p>
        </w:tc>
        <w:tc>
          <w:tcPr>
            <w:tcW w:w="1249" w:type="dxa"/>
            <w:tcBorders>
              <w:top w:val="nil"/>
              <w:left w:val="nil"/>
              <w:bottom w:val="single" w:sz="4" w:space="0" w:color="auto"/>
              <w:right w:val="nil"/>
            </w:tcBorders>
            <w:shd w:val="clear" w:color="auto" w:fill="auto"/>
            <w:noWrap/>
            <w:vAlign w:val="bottom"/>
            <w:hideMark/>
          </w:tcPr>
          <w:p w14:paraId="53D48284" w14:textId="77777777" w:rsidR="000F7C00" w:rsidRPr="00811BEE" w:rsidRDefault="000F7C00" w:rsidP="00211FA3">
            <w:pPr>
              <w:spacing w:after="0" w:line="240" w:lineRule="auto"/>
              <w:rPr>
                <w:rFonts w:ascii="Times New Roman" w:eastAsia="Times New Roman" w:hAnsi="Times New Roman" w:cs="Times New Roman"/>
                <w:color w:val="000000"/>
              </w:rPr>
            </w:pPr>
            <w:r w:rsidRPr="00811BEE">
              <w:rPr>
                <w:rFonts w:ascii="Times New Roman" w:eastAsia="Times New Roman" w:hAnsi="Times New Roman" w:cs="Times New Roman"/>
                <w:color w:val="000000"/>
              </w:rPr>
              <w:t> </w:t>
            </w:r>
          </w:p>
        </w:tc>
        <w:tc>
          <w:tcPr>
            <w:tcW w:w="1249" w:type="dxa"/>
            <w:tcBorders>
              <w:top w:val="nil"/>
              <w:left w:val="nil"/>
              <w:bottom w:val="single" w:sz="4" w:space="0" w:color="auto"/>
              <w:right w:val="nil"/>
            </w:tcBorders>
            <w:shd w:val="clear" w:color="auto" w:fill="auto"/>
            <w:noWrap/>
            <w:vAlign w:val="bottom"/>
            <w:hideMark/>
          </w:tcPr>
          <w:p w14:paraId="1A9FEE27" w14:textId="77777777" w:rsidR="000F7C00" w:rsidRPr="00811BEE" w:rsidRDefault="000F7C00" w:rsidP="00211FA3">
            <w:pPr>
              <w:spacing w:after="0" w:line="240" w:lineRule="auto"/>
              <w:rPr>
                <w:rFonts w:ascii="Times New Roman" w:eastAsia="Times New Roman" w:hAnsi="Times New Roman" w:cs="Times New Roman"/>
                <w:color w:val="000000"/>
              </w:rPr>
            </w:pPr>
            <w:r w:rsidRPr="00811BEE">
              <w:rPr>
                <w:rFonts w:ascii="Times New Roman" w:eastAsia="Times New Roman" w:hAnsi="Times New Roman" w:cs="Times New Roman"/>
                <w:color w:val="000000"/>
              </w:rPr>
              <w:t> </w:t>
            </w:r>
          </w:p>
        </w:tc>
        <w:tc>
          <w:tcPr>
            <w:tcW w:w="1249" w:type="dxa"/>
            <w:tcBorders>
              <w:top w:val="nil"/>
              <w:left w:val="nil"/>
              <w:bottom w:val="single" w:sz="4" w:space="0" w:color="auto"/>
              <w:right w:val="nil"/>
            </w:tcBorders>
            <w:shd w:val="clear" w:color="auto" w:fill="auto"/>
            <w:noWrap/>
            <w:vAlign w:val="bottom"/>
            <w:hideMark/>
          </w:tcPr>
          <w:p w14:paraId="04800CBD" w14:textId="77777777" w:rsidR="000F7C00" w:rsidRPr="00811BEE" w:rsidRDefault="000F7C00" w:rsidP="00211FA3">
            <w:pPr>
              <w:spacing w:after="0" w:line="240" w:lineRule="auto"/>
              <w:rPr>
                <w:rFonts w:ascii="Times New Roman" w:eastAsia="Times New Roman" w:hAnsi="Times New Roman" w:cs="Times New Roman"/>
                <w:color w:val="000000"/>
              </w:rPr>
            </w:pPr>
            <w:r w:rsidRPr="00811BEE">
              <w:rPr>
                <w:rFonts w:ascii="Times New Roman" w:eastAsia="Times New Roman" w:hAnsi="Times New Roman" w:cs="Times New Roman"/>
                <w:color w:val="000000"/>
              </w:rPr>
              <w:t> </w:t>
            </w:r>
          </w:p>
        </w:tc>
        <w:tc>
          <w:tcPr>
            <w:tcW w:w="1249" w:type="dxa"/>
            <w:tcBorders>
              <w:top w:val="nil"/>
              <w:left w:val="nil"/>
              <w:bottom w:val="single" w:sz="4" w:space="0" w:color="auto"/>
              <w:right w:val="nil"/>
            </w:tcBorders>
            <w:shd w:val="clear" w:color="auto" w:fill="auto"/>
            <w:noWrap/>
            <w:vAlign w:val="bottom"/>
            <w:hideMark/>
          </w:tcPr>
          <w:p w14:paraId="3F755579" w14:textId="77777777" w:rsidR="000F7C00" w:rsidRPr="00811BEE" w:rsidRDefault="000F7C00" w:rsidP="00211FA3">
            <w:pPr>
              <w:spacing w:after="0" w:line="240" w:lineRule="auto"/>
              <w:rPr>
                <w:rFonts w:ascii="Times New Roman" w:eastAsia="Times New Roman" w:hAnsi="Times New Roman" w:cs="Times New Roman"/>
                <w:color w:val="000000"/>
              </w:rPr>
            </w:pPr>
            <w:r w:rsidRPr="00811BEE">
              <w:rPr>
                <w:rFonts w:ascii="Times New Roman" w:eastAsia="Times New Roman" w:hAnsi="Times New Roman" w:cs="Times New Roman"/>
                <w:color w:val="000000"/>
              </w:rPr>
              <w:t> </w:t>
            </w:r>
          </w:p>
        </w:tc>
        <w:tc>
          <w:tcPr>
            <w:tcW w:w="1832" w:type="dxa"/>
            <w:tcBorders>
              <w:top w:val="nil"/>
              <w:left w:val="nil"/>
              <w:bottom w:val="single" w:sz="4" w:space="0" w:color="auto"/>
              <w:right w:val="nil"/>
            </w:tcBorders>
            <w:shd w:val="clear" w:color="auto" w:fill="auto"/>
            <w:noWrap/>
            <w:vAlign w:val="bottom"/>
            <w:hideMark/>
          </w:tcPr>
          <w:p w14:paraId="135CE03F" w14:textId="77777777" w:rsidR="000F7C00" w:rsidRPr="00811BEE" w:rsidRDefault="000F7C00" w:rsidP="00211FA3">
            <w:pPr>
              <w:spacing w:after="0" w:line="240" w:lineRule="auto"/>
              <w:rPr>
                <w:rFonts w:ascii="Times New Roman" w:eastAsia="Times New Roman" w:hAnsi="Times New Roman" w:cs="Times New Roman"/>
                <w:color w:val="000000"/>
              </w:rPr>
            </w:pPr>
            <w:r w:rsidRPr="00811BEE">
              <w:rPr>
                <w:rFonts w:ascii="Times New Roman" w:eastAsia="Times New Roman" w:hAnsi="Times New Roman" w:cs="Times New Roman"/>
                <w:color w:val="000000"/>
              </w:rPr>
              <w:t> </w:t>
            </w:r>
          </w:p>
        </w:tc>
      </w:tr>
      <w:tr w:rsidR="000F7C00" w:rsidRPr="00811BEE" w14:paraId="1C643817" w14:textId="77777777" w:rsidTr="00211FA3">
        <w:trPr>
          <w:trHeight w:val="910"/>
          <w:jc w:val="center"/>
        </w:trPr>
        <w:tc>
          <w:tcPr>
            <w:tcW w:w="13680" w:type="dxa"/>
            <w:gridSpan w:val="8"/>
            <w:tcBorders>
              <w:top w:val="single" w:sz="4" w:space="0" w:color="auto"/>
              <w:left w:val="nil"/>
              <w:bottom w:val="nil"/>
              <w:right w:val="nil"/>
            </w:tcBorders>
            <w:shd w:val="clear" w:color="auto" w:fill="auto"/>
            <w:hideMark/>
          </w:tcPr>
          <w:p w14:paraId="219B8C05" w14:textId="77777777" w:rsidR="000F7C00" w:rsidRPr="00811BEE" w:rsidRDefault="000F7C00" w:rsidP="00211FA3">
            <w:pPr>
              <w:spacing w:before="120" w:after="0" w:line="240" w:lineRule="auto"/>
              <w:rPr>
                <w:rFonts w:ascii="Times New Roman" w:eastAsia="Times New Roman" w:hAnsi="Times New Roman" w:cs="Times New Roman"/>
                <w:color w:val="000000"/>
                <w:sz w:val="20"/>
                <w:szCs w:val="20"/>
              </w:rPr>
            </w:pPr>
            <w:r w:rsidRPr="00811BEE">
              <w:rPr>
                <w:rFonts w:ascii="Times New Roman" w:eastAsia="Times New Roman" w:hAnsi="Times New Roman" w:cs="Times New Roman"/>
                <w:i/>
                <w:color w:val="000000"/>
                <w:sz w:val="20"/>
                <w:szCs w:val="20"/>
              </w:rPr>
              <w:t>Note</w:t>
            </w:r>
            <w:r w:rsidRPr="00811BEE">
              <w:rPr>
                <w:rFonts w:ascii="Times New Roman" w:eastAsia="Times New Roman" w:hAnsi="Times New Roman" w:cs="Times New Roman"/>
                <w:smallCaps/>
                <w:color w:val="000000"/>
                <w:sz w:val="20"/>
                <w:szCs w:val="20"/>
              </w:rPr>
              <w:t xml:space="preserve">: </w:t>
            </w:r>
            <w:r w:rsidRPr="00811BEE">
              <w:rPr>
                <w:rFonts w:ascii="Times New Roman" w:eastAsia="Times New Roman" w:hAnsi="Times New Roman" w:cs="Times New Roman"/>
                <w:color w:val="000000"/>
                <w:sz w:val="20"/>
                <w:szCs w:val="20"/>
              </w:rPr>
              <w:t>The distribution method assigns “treated” individuals a random draw from the earnings distribution of the assigned group (AA or BA). The causal parameter method increases the earnings of the treated by a factor consistent with existing literature (see text). We include general equilibrium effects on wages in these simulations, as explained in the text.</w:t>
            </w:r>
          </w:p>
          <w:p w14:paraId="675754FC" w14:textId="77777777" w:rsidR="000F7C00" w:rsidRPr="00811BEE" w:rsidRDefault="000F7C00" w:rsidP="00211FA3">
            <w:pPr>
              <w:spacing w:before="120" w:after="0" w:line="240" w:lineRule="auto"/>
              <w:rPr>
                <w:rFonts w:ascii="Times New Roman" w:eastAsia="Times New Roman" w:hAnsi="Times New Roman" w:cs="Times New Roman"/>
                <w:color w:val="000000"/>
                <w:sz w:val="20"/>
                <w:szCs w:val="20"/>
              </w:rPr>
            </w:pPr>
            <w:r w:rsidRPr="00811BEE">
              <w:rPr>
                <w:rFonts w:ascii="Times New Roman" w:eastAsia="Times New Roman" w:hAnsi="Times New Roman" w:cs="Times New Roman"/>
                <w:i/>
                <w:color w:val="000000"/>
                <w:sz w:val="20"/>
                <w:szCs w:val="20"/>
              </w:rPr>
              <w:t>Source</w:t>
            </w:r>
            <w:r w:rsidRPr="00811BEE">
              <w:rPr>
                <w:rFonts w:ascii="Times New Roman" w:eastAsia="Times New Roman" w:hAnsi="Times New Roman" w:cs="Times New Roman"/>
                <w:color w:val="000000"/>
                <w:sz w:val="20"/>
                <w:szCs w:val="20"/>
              </w:rPr>
              <w:t>: Authors’ calculations of March Current Population Survey 1980 and 2019 (Flood et al., 2019).</w:t>
            </w:r>
          </w:p>
        </w:tc>
      </w:tr>
    </w:tbl>
    <w:p w14:paraId="4BC89D73" w14:textId="77777777" w:rsidR="000F7C00" w:rsidRDefault="000F7C00" w:rsidP="000F7C00">
      <w:r>
        <w:br w:type="page"/>
      </w:r>
    </w:p>
    <w:tbl>
      <w:tblPr>
        <w:tblW w:w="13680" w:type="dxa"/>
        <w:jc w:val="center"/>
        <w:tblLayout w:type="fixed"/>
        <w:tblLook w:val="04A0" w:firstRow="1" w:lastRow="0" w:firstColumn="1" w:lastColumn="0" w:noHBand="0" w:noVBand="1"/>
      </w:tblPr>
      <w:tblGrid>
        <w:gridCol w:w="4354"/>
        <w:gridCol w:w="1249"/>
        <w:gridCol w:w="1249"/>
        <w:gridCol w:w="1249"/>
        <w:gridCol w:w="1249"/>
        <w:gridCol w:w="1249"/>
        <w:gridCol w:w="1249"/>
        <w:gridCol w:w="1832"/>
      </w:tblGrid>
      <w:tr w:rsidR="003971A1" w:rsidRPr="00D7040E" w14:paraId="74025E6C" w14:textId="77777777" w:rsidTr="008E7934">
        <w:trPr>
          <w:trHeight w:val="290"/>
          <w:jc w:val="center"/>
        </w:trPr>
        <w:tc>
          <w:tcPr>
            <w:tcW w:w="13680" w:type="dxa"/>
            <w:gridSpan w:val="8"/>
            <w:tcBorders>
              <w:top w:val="nil"/>
              <w:left w:val="nil"/>
              <w:bottom w:val="single" w:sz="4" w:space="0" w:color="auto"/>
              <w:right w:val="nil"/>
            </w:tcBorders>
            <w:shd w:val="clear" w:color="auto" w:fill="auto"/>
            <w:noWrap/>
            <w:vAlign w:val="bottom"/>
            <w:hideMark/>
          </w:tcPr>
          <w:p w14:paraId="25817F6E" w14:textId="77777777" w:rsidR="003971A1" w:rsidRPr="00256C23" w:rsidRDefault="003971A1" w:rsidP="008E7934">
            <w:pPr>
              <w:spacing w:after="120" w:line="240" w:lineRule="auto"/>
              <w:rPr>
                <w:rFonts w:ascii="Times New Roman" w:eastAsia="Times New Roman" w:hAnsi="Times New Roman" w:cs="Times New Roman"/>
                <w:b/>
                <w:bCs/>
                <w:color w:val="000000"/>
                <w:sz w:val="24"/>
                <w:szCs w:val="24"/>
              </w:rPr>
            </w:pPr>
            <w:r w:rsidRPr="00C65707">
              <w:rPr>
                <w:rFonts w:ascii="Times New Roman" w:eastAsia="Times New Roman" w:hAnsi="Times New Roman" w:cs="Times New Roman"/>
                <w:b/>
                <w:bCs/>
                <w:color w:val="000000"/>
                <w:sz w:val="24"/>
                <w:szCs w:val="24"/>
              </w:rPr>
              <w:lastRenderedPageBreak/>
              <w:t>Table 4c</w:t>
            </w:r>
            <w:r w:rsidRPr="00D20563">
              <w:rPr>
                <w:rFonts w:ascii="Times New Roman" w:eastAsia="Times New Roman" w:hAnsi="Times New Roman" w:cs="Times New Roman"/>
                <w:b/>
                <w:bCs/>
                <w:color w:val="000000"/>
                <w:sz w:val="24"/>
                <w:szCs w:val="24"/>
              </w:rPr>
              <w:t xml:space="preserve">: Observed and Simulated </w:t>
            </w:r>
            <w:r w:rsidRPr="00040264">
              <w:rPr>
                <w:rFonts w:ascii="Times New Roman" w:eastAsia="Times New Roman" w:hAnsi="Times New Roman" w:cs="Times New Roman"/>
                <w:b/>
                <w:bCs/>
                <w:color w:val="000000"/>
                <w:sz w:val="24"/>
                <w:szCs w:val="24"/>
              </w:rPr>
              <w:t xml:space="preserve">Percentile Earnings </w:t>
            </w:r>
            <w:r w:rsidRPr="00EE6CF2">
              <w:rPr>
                <w:rFonts w:ascii="Times New Roman" w:eastAsia="Times New Roman" w:hAnsi="Times New Roman" w:cs="Times New Roman"/>
                <w:b/>
                <w:bCs/>
                <w:color w:val="000000"/>
                <w:sz w:val="24"/>
                <w:szCs w:val="24"/>
              </w:rPr>
              <w:t>R</w:t>
            </w:r>
            <w:r w:rsidRPr="00D259F5">
              <w:rPr>
                <w:rFonts w:ascii="Times New Roman" w:eastAsia="Times New Roman" w:hAnsi="Times New Roman" w:cs="Times New Roman"/>
                <w:b/>
                <w:bCs/>
                <w:color w:val="000000"/>
                <w:sz w:val="24"/>
                <w:szCs w:val="24"/>
              </w:rPr>
              <w:t xml:space="preserve">atios: Full-Time, Full-Year </w:t>
            </w:r>
            <w:r w:rsidRPr="00D63F9B">
              <w:rPr>
                <w:rFonts w:ascii="Times New Roman" w:eastAsia="Times New Roman" w:hAnsi="Times New Roman" w:cs="Times New Roman"/>
                <w:b/>
                <w:bCs/>
                <w:color w:val="000000"/>
                <w:sz w:val="24"/>
                <w:szCs w:val="24"/>
              </w:rPr>
              <w:t>Women</w:t>
            </w:r>
          </w:p>
        </w:tc>
      </w:tr>
      <w:tr w:rsidR="003971A1" w:rsidRPr="00D7040E" w14:paraId="0287FB05" w14:textId="77777777" w:rsidTr="008E7934">
        <w:trPr>
          <w:trHeight w:val="692"/>
          <w:jc w:val="center"/>
        </w:trPr>
        <w:tc>
          <w:tcPr>
            <w:tcW w:w="4354" w:type="dxa"/>
            <w:tcBorders>
              <w:top w:val="nil"/>
              <w:left w:val="nil"/>
              <w:bottom w:val="single" w:sz="4" w:space="0" w:color="auto"/>
              <w:right w:val="nil"/>
            </w:tcBorders>
            <w:shd w:val="clear" w:color="auto" w:fill="auto"/>
            <w:noWrap/>
            <w:vAlign w:val="bottom"/>
            <w:hideMark/>
          </w:tcPr>
          <w:p w14:paraId="19ED4FAB" w14:textId="77777777" w:rsidR="003971A1" w:rsidRPr="00C65707" w:rsidRDefault="003971A1" w:rsidP="008E7934">
            <w:pPr>
              <w:spacing w:after="0" w:line="240" w:lineRule="auto"/>
              <w:rPr>
                <w:rFonts w:ascii="Times New Roman" w:eastAsia="Times New Roman" w:hAnsi="Times New Roman" w:cs="Times New Roman"/>
                <w:b/>
                <w:bCs/>
                <w:color w:val="000000"/>
                <w:sz w:val="24"/>
                <w:szCs w:val="24"/>
              </w:rPr>
            </w:pPr>
            <w:r w:rsidRPr="00C65707">
              <w:rPr>
                <w:rFonts w:ascii="Times New Roman" w:eastAsia="Times New Roman" w:hAnsi="Times New Roman" w:cs="Times New Roman"/>
                <w:b/>
                <w:bCs/>
                <w:color w:val="000000"/>
                <w:sz w:val="24"/>
                <w:szCs w:val="24"/>
              </w:rPr>
              <w:t> </w:t>
            </w:r>
          </w:p>
        </w:tc>
        <w:tc>
          <w:tcPr>
            <w:tcW w:w="1249" w:type="dxa"/>
            <w:tcBorders>
              <w:top w:val="nil"/>
              <w:left w:val="nil"/>
              <w:bottom w:val="single" w:sz="4" w:space="0" w:color="auto"/>
              <w:right w:val="nil"/>
            </w:tcBorders>
            <w:shd w:val="clear" w:color="auto" w:fill="auto"/>
            <w:noWrap/>
            <w:vAlign w:val="bottom"/>
            <w:hideMark/>
          </w:tcPr>
          <w:p w14:paraId="40162578" w14:textId="77777777" w:rsidR="003971A1" w:rsidRPr="00256C23" w:rsidRDefault="003971A1" w:rsidP="008E7934">
            <w:pPr>
              <w:spacing w:after="0" w:line="240" w:lineRule="auto"/>
              <w:jc w:val="right"/>
              <w:rPr>
                <w:rFonts w:ascii="Times New Roman" w:eastAsia="Times New Roman" w:hAnsi="Times New Roman" w:cs="Times New Roman"/>
                <w:color w:val="000000"/>
                <w:sz w:val="24"/>
                <w:szCs w:val="24"/>
              </w:rPr>
            </w:pPr>
            <w:r w:rsidRPr="00256C23">
              <w:rPr>
                <w:rFonts w:ascii="Times New Roman" w:eastAsia="Times New Roman" w:hAnsi="Times New Roman" w:cs="Times New Roman"/>
                <w:color w:val="000000"/>
                <w:sz w:val="24"/>
                <w:szCs w:val="24"/>
              </w:rPr>
              <w:t>r50/10</w:t>
            </w:r>
          </w:p>
        </w:tc>
        <w:tc>
          <w:tcPr>
            <w:tcW w:w="1249" w:type="dxa"/>
            <w:tcBorders>
              <w:top w:val="nil"/>
              <w:left w:val="nil"/>
              <w:bottom w:val="single" w:sz="4" w:space="0" w:color="auto"/>
              <w:right w:val="nil"/>
            </w:tcBorders>
            <w:shd w:val="clear" w:color="auto" w:fill="auto"/>
            <w:noWrap/>
            <w:vAlign w:val="bottom"/>
            <w:hideMark/>
          </w:tcPr>
          <w:p w14:paraId="2CA837F9" w14:textId="77777777" w:rsidR="003971A1" w:rsidRPr="00366A4B" w:rsidRDefault="003971A1" w:rsidP="008E7934">
            <w:pPr>
              <w:spacing w:after="0" w:line="240" w:lineRule="auto"/>
              <w:jc w:val="right"/>
              <w:rPr>
                <w:rFonts w:ascii="Times New Roman" w:eastAsia="Times New Roman" w:hAnsi="Times New Roman" w:cs="Times New Roman"/>
                <w:color w:val="000000"/>
                <w:sz w:val="24"/>
                <w:szCs w:val="24"/>
              </w:rPr>
            </w:pPr>
            <w:r w:rsidRPr="00366A4B">
              <w:rPr>
                <w:rFonts w:ascii="Times New Roman" w:eastAsia="Times New Roman" w:hAnsi="Times New Roman" w:cs="Times New Roman"/>
                <w:color w:val="000000"/>
                <w:sz w:val="24"/>
                <w:szCs w:val="24"/>
              </w:rPr>
              <w:t>r90/10</w:t>
            </w:r>
          </w:p>
        </w:tc>
        <w:tc>
          <w:tcPr>
            <w:tcW w:w="1249" w:type="dxa"/>
            <w:tcBorders>
              <w:top w:val="nil"/>
              <w:left w:val="nil"/>
              <w:bottom w:val="single" w:sz="4" w:space="0" w:color="auto"/>
              <w:right w:val="nil"/>
            </w:tcBorders>
            <w:shd w:val="clear" w:color="auto" w:fill="auto"/>
            <w:noWrap/>
            <w:vAlign w:val="bottom"/>
            <w:hideMark/>
          </w:tcPr>
          <w:p w14:paraId="4C781AF5" w14:textId="77777777" w:rsidR="003971A1" w:rsidRPr="00C65707" w:rsidRDefault="003971A1" w:rsidP="008E7934">
            <w:pPr>
              <w:spacing w:after="0" w:line="240" w:lineRule="auto"/>
              <w:jc w:val="right"/>
              <w:rPr>
                <w:rFonts w:ascii="Times New Roman" w:eastAsia="Times New Roman" w:hAnsi="Times New Roman" w:cs="Times New Roman"/>
                <w:color w:val="000000"/>
                <w:sz w:val="24"/>
                <w:szCs w:val="24"/>
              </w:rPr>
            </w:pPr>
            <w:r w:rsidRPr="00C65707">
              <w:rPr>
                <w:rFonts w:ascii="Times New Roman" w:eastAsia="Times New Roman" w:hAnsi="Times New Roman" w:cs="Times New Roman"/>
                <w:color w:val="000000"/>
                <w:sz w:val="24"/>
                <w:szCs w:val="24"/>
              </w:rPr>
              <w:t>r50/25</w:t>
            </w:r>
          </w:p>
        </w:tc>
        <w:tc>
          <w:tcPr>
            <w:tcW w:w="1249" w:type="dxa"/>
            <w:tcBorders>
              <w:top w:val="nil"/>
              <w:left w:val="nil"/>
              <w:bottom w:val="single" w:sz="4" w:space="0" w:color="auto"/>
              <w:right w:val="nil"/>
            </w:tcBorders>
            <w:shd w:val="clear" w:color="auto" w:fill="auto"/>
            <w:noWrap/>
            <w:vAlign w:val="bottom"/>
            <w:hideMark/>
          </w:tcPr>
          <w:p w14:paraId="36AEF821" w14:textId="77777777" w:rsidR="003971A1" w:rsidRPr="00C65707" w:rsidRDefault="003971A1" w:rsidP="008E7934">
            <w:pPr>
              <w:spacing w:after="0" w:line="240" w:lineRule="auto"/>
              <w:jc w:val="right"/>
              <w:rPr>
                <w:rFonts w:ascii="Times New Roman" w:eastAsia="Times New Roman" w:hAnsi="Times New Roman" w:cs="Times New Roman"/>
                <w:color w:val="000000"/>
                <w:sz w:val="24"/>
                <w:szCs w:val="24"/>
              </w:rPr>
            </w:pPr>
            <w:r w:rsidRPr="00C65707">
              <w:rPr>
                <w:rFonts w:ascii="Times New Roman" w:eastAsia="Times New Roman" w:hAnsi="Times New Roman" w:cs="Times New Roman"/>
                <w:color w:val="000000"/>
                <w:sz w:val="24"/>
                <w:szCs w:val="24"/>
              </w:rPr>
              <w:t>r90/25</w:t>
            </w:r>
          </w:p>
        </w:tc>
        <w:tc>
          <w:tcPr>
            <w:tcW w:w="1249" w:type="dxa"/>
            <w:tcBorders>
              <w:top w:val="nil"/>
              <w:left w:val="nil"/>
              <w:bottom w:val="single" w:sz="4" w:space="0" w:color="auto"/>
              <w:right w:val="nil"/>
            </w:tcBorders>
            <w:shd w:val="clear" w:color="auto" w:fill="auto"/>
            <w:noWrap/>
            <w:vAlign w:val="bottom"/>
            <w:hideMark/>
          </w:tcPr>
          <w:p w14:paraId="7171DCA2" w14:textId="77777777" w:rsidR="003971A1" w:rsidRPr="00C65707" w:rsidRDefault="003971A1" w:rsidP="008E7934">
            <w:pPr>
              <w:spacing w:after="0" w:line="240" w:lineRule="auto"/>
              <w:jc w:val="right"/>
              <w:rPr>
                <w:rFonts w:ascii="Times New Roman" w:eastAsia="Times New Roman" w:hAnsi="Times New Roman" w:cs="Times New Roman"/>
                <w:color w:val="000000"/>
                <w:sz w:val="24"/>
                <w:szCs w:val="24"/>
              </w:rPr>
            </w:pPr>
            <w:r w:rsidRPr="00C65707">
              <w:rPr>
                <w:rFonts w:ascii="Times New Roman" w:eastAsia="Times New Roman" w:hAnsi="Times New Roman" w:cs="Times New Roman"/>
                <w:color w:val="000000"/>
                <w:sz w:val="24"/>
                <w:szCs w:val="24"/>
              </w:rPr>
              <w:t>r90/50</w:t>
            </w:r>
          </w:p>
        </w:tc>
        <w:tc>
          <w:tcPr>
            <w:tcW w:w="1249" w:type="dxa"/>
            <w:tcBorders>
              <w:top w:val="nil"/>
              <w:left w:val="nil"/>
              <w:bottom w:val="single" w:sz="4" w:space="0" w:color="auto"/>
              <w:right w:val="nil"/>
            </w:tcBorders>
            <w:shd w:val="clear" w:color="auto" w:fill="auto"/>
            <w:noWrap/>
            <w:vAlign w:val="bottom"/>
            <w:hideMark/>
          </w:tcPr>
          <w:p w14:paraId="382A1A1B" w14:textId="77777777" w:rsidR="003971A1" w:rsidRPr="00C65707" w:rsidRDefault="003971A1" w:rsidP="008E7934">
            <w:pPr>
              <w:spacing w:after="0" w:line="240" w:lineRule="auto"/>
              <w:jc w:val="right"/>
              <w:rPr>
                <w:rFonts w:ascii="Times New Roman" w:eastAsia="Times New Roman" w:hAnsi="Times New Roman" w:cs="Times New Roman"/>
                <w:color w:val="000000"/>
                <w:sz w:val="24"/>
                <w:szCs w:val="24"/>
              </w:rPr>
            </w:pPr>
            <w:r w:rsidRPr="00C65707">
              <w:rPr>
                <w:rFonts w:ascii="Times New Roman" w:eastAsia="Times New Roman" w:hAnsi="Times New Roman" w:cs="Times New Roman"/>
                <w:color w:val="000000"/>
                <w:sz w:val="24"/>
                <w:szCs w:val="24"/>
              </w:rPr>
              <w:t>r99/90</w:t>
            </w:r>
          </w:p>
        </w:tc>
        <w:tc>
          <w:tcPr>
            <w:tcW w:w="1832" w:type="dxa"/>
            <w:tcBorders>
              <w:top w:val="nil"/>
              <w:left w:val="nil"/>
              <w:bottom w:val="single" w:sz="4" w:space="0" w:color="auto"/>
              <w:right w:val="nil"/>
            </w:tcBorders>
            <w:shd w:val="clear" w:color="auto" w:fill="auto"/>
            <w:vAlign w:val="bottom"/>
            <w:hideMark/>
          </w:tcPr>
          <w:p w14:paraId="42383CF9" w14:textId="77777777" w:rsidR="003971A1" w:rsidRPr="00C65707" w:rsidRDefault="003971A1" w:rsidP="008E7934">
            <w:pPr>
              <w:spacing w:after="0" w:line="240" w:lineRule="auto"/>
              <w:jc w:val="right"/>
              <w:rPr>
                <w:rFonts w:ascii="Times New Roman" w:eastAsia="Times New Roman" w:hAnsi="Times New Roman" w:cs="Times New Roman"/>
                <w:color w:val="000000"/>
                <w:sz w:val="24"/>
                <w:szCs w:val="24"/>
              </w:rPr>
            </w:pPr>
            <w:r w:rsidRPr="00C65707">
              <w:rPr>
                <w:rFonts w:ascii="Times New Roman" w:eastAsia="Times New Roman" w:hAnsi="Times New Roman" w:cs="Times New Roman"/>
                <w:color w:val="000000"/>
                <w:sz w:val="24"/>
                <w:szCs w:val="24"/>
              </w:rPr>
              <w:t>Gini Coefficient</w:t>
            </w:r>
          </w:p>
        </w:tc>
      </w:tr>
      <w:tr w:rsidR="003971A1" w:rsidRPr="00D7040E" w14:paraId="529D5086" w14:textId="77777777" w:rsidTr="008E7934">
        <w:trPr>
          <w:trHeight w:val="150"/>
          <w:jc w:val="center"/>
        </w:trPr>
        <w:tc>
          <w:tcPr>
            <w:tcW w:w="4354" w:type="dxa"/>
            <w:tcBorders>
              <w:top w:val="nil"/>
              <w:left w:val="nil"/>
              <w:bottom w:val="nil"/>
              <w:right w:val="nil"/>
            </w:tcBorders>
            <w:shd w:val="clear" w:color="auto" w:fill="auto"/>
            <w:noWrap/>
            <w:vAlign w:val="bottom"/>
            <w:hideMark/>
          </w:tcPr>
          <w:p w14:paraId="35B5AB22" w14:textId="77777777" w:rsidR="003971A1" w:rsidRPr="00C65707" w:rsidRDefault="003971A1" w:rsidP="008E7934">
            <w:pPr>
              <w:spacing w:after="0" w:line="240" w:lineRule="auto"/>
              <w:jc w:val="center"/>
              <w:rPr>
                <w:rFonts w:ascii="Times New Roman" w:eastAsia="Times New Roman" w:hAnsi="Times New Roman" w:cs="Times New Roman"/>
                <w:color w:val="000000"/>
                <w:sz w:val="24"/>
                <w:szCs w:val="24"/>
              </w:rPr>
            </w:pPr>
          </w:p>
        </w:tc>
        <w:tc>
          <w:tcPr>
            <w:tcW w:w="1249" w:type="dxa"/>
            <w:tcBorders>
              <w:top w:val="nil"/>
              <w:left w:val="nil"/>
              <w:bottom w:val="nil"/>
              <w:right w:val="nil"/>
            </w:tcBorders>
            <w:shd w:val="clear" w:color="auto" w:fill="auto"/>
            <w:noWrap/>
            <w:vAlign w:val="bottom"/>
            <w:hideMark/>
          </w:tcPr>
          <w:p w14:paraId="157319AA" w14:textId="77777777" w:rsidR="003971A1" w:rsidRPr="00256C23" w:rsidRDefault="003971A1" w:rsidP="008E7934">
            <w:pPr>
              <w:spacing w:after="0" w:line="240" w:lineRule="auto"/>
              <w:jc w:val="center"/>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noWrap/>
            <w:vAlign w:val="bottom"/>
            <w:hideMark/>
          </w:tcPr>
          <w:p w14:paraId="7BAC3EDC" w14:textId="77777777" w:rsidR="003971A1" w:rsidRPr="00366A4B" w:rsidRDefault="003971A1" w:rsidP="008E7934">
            <w:pPr>
              <w:spacing w:after="0" w:line="240" w:lineRule="auto"/>
              <w:jc w:val="center"/>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noWrap/>
            <w:vAlign w:val="bottom"/>
            <w:hideMark/>
          </w:tcPr>
          <w:p w14:paraId="19F46F4B" w14:textId="77777777" w:rsidR="003971A1" w:rsidRPr="00366A4B" w:rsidRDefault="003971A1" w:rsidP="008E7934">
            <w:pPr>
              <w:spacing w:after="0" w:line="240" w:lineRule="auto"/>
              <w:jc w:val="center"/>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noWrap/>
            <w:vAlign w:val="bottom"/>
            <w:hideMark/>
          </w:tcPr>
          <w:p w14:paraId="515E3CFA" w14:textId="77777777" w:rsidR="003971A1" w:rsidRPr="00366A4B" w:rsidRDefault="003971A1" w:rsidP="008E7934">
            <w:pPr>
              <w:spacing w:after="0" w:line="240" w:lineRule="auto"/>
              <w:jc w:val="center"/>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noWrap/>
            <w:vAlign w:val="bottom"/>
            <w:hideMark/>
          </w:tcPr>
          <w:p w14:paraId="27562D85" w14:textId="77777777" w:rsidR="003971A1" w:rsidRPr="00C65707" w:rsidRDefault="003971A1" w:rsidP="008E7934">
            <w:pPr>
              <w:spacing w:after="0" w:line="240" w:lineRule="auto"/>
              <w:jc w:val="center"/>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noWrap/>
            <w:vAlign w:val="bottom"/>
            <w:hideMark/>
          </w:tcPr>
          <w:p w14:paraId="301D13F8" w14:textId="77777777" w:rsidR="003971A1" w:rsidRPr="00C65707" w:rsidRDefault="003971A1" w:rsidP="008E7934">
            <w:pPr>
              <w:spacing w:after="0" w:line="240" w:lineRule="auto"/>
              <w:jc w:val="center"/>
              <w:rPr>
                <w:rFonts w:ascii="Times New Roman" w:eastAsia="Times New Roman" w:hAnsi="Times New Roman" w:cs="Times New Roman"/>
                <w:sz w:val="24"/>
                <w:szCs w:val="24"/>
              </w:rPr>
            </w:pPr>
          </w:p>
        </w:tc>
        <w:tc>
          <w:tcPr>
            <w:tcW w:w="1832" w:type="dxa"/>
            <w:tcBorders>
              <w:top w:val="nil"/>
              <w:left w:val="nil"/>
              <w:bottom w:val="nil"/>
              <w:right w:val="nil"/>
            </w:tcBorders>
            <w:shd w:val="clear" w:color="auto" w:fill="auto"/>
            <w:noWrap/>
            <w:vAlign w:val="bottom"/>
            <w:hideMark/>
          </w:tcPr>
          <w:p w14:paraId="6693E3F6" w14:textId="77777777" w:rsidR="003971A1" w:rsidRPr="00C65707" w:rsidRDefault="003971A1" w:rsidP="008E7934">
            <w:pPr>
              <w:spacing w:after="0" w:line="240" w:lineRule="auto"/>
              <w:jc w:val="center"/>
              <w:rPr>
                <w:rFonts w:ascii="Times New Roman" w:eastAsia="Times New Roman" w:hAnsi="Times New Roman" w:cs="Times New Roman"/>
                <w:sz w:val="24"/>
                <w:szCs w:val="24"/>
              </w:rPr>
            </w:pPr>
          </w:p>
        </w:tc>
      </w:tr>
      <w:tr w:rsidR="003971A1" w:rsidRPr="00D7040E" w14:paraId="6BA4EE72" w14:textId="77777777" w:rsidTr="008E7934">
        <w:trPr>
          <w:trHeight w:val="290"/>
          <w:jc w:val="center"/>
        </w:trPr>
        <w:tc>
          <w:tcPr>
            <w:tcW w:w="4354" w:type="dxa"/>
            <w:tcBorders>
              <w:top w:val="nil"/>
              <w:left w:val="nil"/>
              <w:bottom w:val="nil"/>
              <w:right w:val="nil"/>
            </w:tcBorders>
            <w:shd w:val="clear" w:color="auto" w:fill="auto"/>
            <w:noWrap/>
            <w:vAlign w:val="bottom"/>
            <w:hideMark/>
          </w:tcPr>
          <w:p w14:paraId="7826FDB1" w14:textId="77777777" w:rsidR="003971A1" w:rsidRPr="00C65707" w:rsidRDefault="003971A1" w:rsidP="008E7934">
            <w:pPr>
              <w:spacing w:after="0" w:line="240" w:lineRule="auto"/>
              <w:rPr>
                <w:rFonts w:ascii="Times New Roman" w:eastAsia="Times New Roman" w:hAnsi="Times New Roman" w:cs="Times New Roman"/>
                <w:color w:val="000000"/>
                <w:sz w:val="24"/>
                <w:szCs w:val="24"/>
              </w:rPr>
            </w:pPr>
            <w:r w:rsidRPr="00C65707">
              <w:rPr>
                <w:rFonts w:ascii="Times New Roman" w:eastAsia="Times New Roman" w:hAnsi="Times New Roman" w:cs="Times New Roman"/>
                <w:b/>
                <w:color w:val="000000"/>
                <w:sz w:val="24"/>
                <w:szCs w:val="24"/>
              </w:rPr>
              <w:t>Panel A: Observed</w:t>
            </w:r>
          </w:p>
        </w:tc>
        <w:tc>
          <w:tcPr>
            <w:tcW w:w="1249" w:type="dxa"/>
            <w:tcBorders>
              <w:top w:val="nil"/>
              <w:left w:val="nil"/>
              <w:bottom w:val="nil"/>
              <w:right w:val="nil"/>
            </w:tcBorders>
            <w:shd w:val="clear" w:color="auto" w:fill="auto"/>
            <w:noWrap/>
            <w:vAlign w:val="bottom"/>
            <w:hideMark/>
          </w:tcPr>
          <w:p w14:paraId="0ADF676A" w14:textId="77777777" w:rsidR="003971A1" w:rsidRPr="00256C23" w:rsidRDefault="003971A1" w:rsidP="008E7934">
            <w:pPr>
              <w:spacing w:after="0" w:line="240" w:lineRule="auto"/>
              <w:rPr>
                <w:rFonts w:ascii="Times New Roman" w:eastAsia="Times New Roman" w:hAnsi="Times New Roman" w:cs="Times New Roman"/>
                <w:color w:val="000000"/>
                <w:sz w:val="24"/>
                <w:szCs w:val="24"/>
              </w:rPr>
            </w:pPr>
          </w:p>
        </w:tc>
        <w:tc>
          <w:tcPr>
            <w:tcW w:w="1249" w:type="dxa"/>
            <w:tcBorders>
              <w:top w:val="nil"/>
              <w:left w:val="nil"/>
              <w:bottom w:val="nil"/>
              <w:right w:val="nil"/>
            </w:tcBorders>
            <w:shd w:val="clear" w:color="auto" w:fill="auto"/>
            <w:noWrap/>
            <w:vAlign w:val="bottom"/>
            <w:hideMark/>
          </w:tcPr>
          <w:p w14:paraId="378F0794" w14:textId="77777777" w:rsidR="003971A1" w:rsidRPr="00366A4B" w:rsidRDefault="003971A1" w:rsidP="008E7934">
            <w:pPr>
              <w:spacing w:after="0" w:line="240" w:lineRule="auto"/>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vAlign w:val="bottom"/>
            <w:hideMark/>
          </w:tcPr>
          <w:p w14:paraId="052289D8" w14:textId="77777777" w:rsidR="003971A1" w:rsidRPr="00366A4B" w:rsidRDefault="003971A1" w:rsidP="008E7934">
            <w:pPr>
              <w:spacing w:after="0" w:line="240" w:lineRule="auto"/>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vAlign w:val="bottom"/>
            <w:hideMark/>
          </w:tcPr>
          <w:p w14:paraId="190EC51D" w14:textId="77777777" w:rsidR="003971A1" w:rsidRPr="00366A4B" w:rsidRDefault="003971A1" w:rsidP="008E7934">
            <w:pPr>
              <w:spacing w:after="0" w:line="240" w:lineRule="auto"/>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vAlign w:val="bottom"/>
            <w:hideMark/>
          </w:tcPr>
          <w:p w14:paraId="66ACB25D" w14:textId="77777777" w:rsidR="003971A1" w:rsidRPr="00C65707" w:rsidRDefault="003971A1" w:rsidP="008E7934">
            <w:pPr>
              <w:spacing w:after="0" w:line="240" w:lineRule="auto"/>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vAlign w:val="bottom"/>
            <w:hideMark/>
          </w:tcPr>
          <w:p w14:paraId="0A4388E8" w14:textId="77777777" w:rsidR="003971A1" w:rsidRPr="00C65707" w:rsidRDefault="003971A1" w:rsidP="008E7934">
            <w:pPr>
              <w:spacing w:after="0" w:line="240" w:lineRule="auto"/>
              <w:rPr>
                <w:rFonts w:ascii="Times New Roman" w:eastAsia="Times New Roman" w:hAnsi="Times New Roman" w:cs="Times New Roman"/>
                <w:sz w:val="24"/>
                <w:szCs w:val="24"/>
              </w:rPr>
            </w:pPr>
          </w:p>
        </w:tc>
        <w:tc>
          <w:tcPr>
            <w:tcW w:w="1832" w:type="dxa"/>
            <w:tcBorders>
              <w:top w:val="nil"/>
              <w:left w:val="nil"/>
              <w:bottom w:val="nil"/>
              <w:right w:val="nil"/>
            </w:tcBorders>
            <w:shd w:val="clear" w:color="auto" w:fill="auto"/>
            <w:vAlign w:val="bottom"/>
            <w:hideMark/>
          </w:tcPr>
          <w:p w14:paraId="5BE7EE11" w14:textId="77777777" w:rsidR="003971A1" w:rsidRPr="00C65707" w:rsidRDefault="003971A1" w:rsidP="008E7934">
            <w:pPr>
              <w:spacing w:after="0" w:line="240" w:lineRule="auto"/>
              <w:rPr>
                <w:rFonts w:ascii="Times New Roman" w:eastAsia="Times New Roman" w:hAnsi="Times New Roman" w:cs="Times New Roman"/>
                <w:sz w:val="24"/>
                <w:szCs w:val="24"/>
              </w:rPr>
            </w:pPr>
          </w:p>
        </w:tc>
      </w:tr>
      <w:tr w:rsidR="003971A1" w:rsidRPr="00D7040E" w14:paraId="774376F2" w14:textId="77777777" w:rsidTr="008E7934">
        <w:trPr>
          <w:trHeight w:val="290"/>
          <w:jc w:val="center"/>
        </w:trPr>
        <w:tc>
          <w:tcPr>
            <w:tcW w:w="4354" w:type="dxa"/>
            <w:tcBorders>
              <w:top w:val="nil"/>
              <w:left w:val="nil"/>
              <w:bottom w:val="nil"/>
              <w:right w:val="nil"/>
            </w:tcBorders>
            <w:shd w:val="clear" w:color="auto" w:fill="auto"/>
            <w:noWrap/>
            <w:vAlign w:val="bottom"/>
            <w:hideMark/>
          </w:tcPr>
          <w:p w14:paraId="315C7750" w14:textId="77777777" w:rsidR="003971A1" w:rsidRPr="00D20563" w:rsidRDefault="003971A1" w:rsidP="008E7934">
            <w:pPr>
              <w:spacing w:after="0" w:line="240" w:lineRule="auto"/>
              <w:rPr>
                <w:rFonts w:ascii="Times New Roman" w:eastAsia="Times New Roman" w:hAnsi="Times New Roman" w:cs="Times New Roman"/>
                <w:color w:val="000000"/>
                <w:sz w:val="24"/>
                <w:szCs w:val="24"/>
              </w:rPr>
            </w:pPr>
            <w:r w:rsidRPr="00C65707">
              <w:rPr>
                <w:rFonts w:ascii="Times New Roman" w:eastAsia="Times New Roman" w:hAnsi="Times New Roman" w:cs="Times New Roman"/>
                <w:color w:val="000000"/>
                <w:sz w:val="24"/>
                <w:szCs w:val="24"/>
              </w:rPr>
              <w:t xml:space="preserve">     1979</w:t>
            </w:r>
          </w:p>
        </w:tc>
        <w:tc>
          <w:tcPr>
            <w:tcW w:w="1249" w:type="dxa"/>
            <w:tcBorders>
              <w:top w:val="nil"/>
              <w:left w:val="nil"/>
              <w:bottom w:val="nil"/>
              <w:right w:val="nil"/>
            </w:tcBorders>
            <w:shd w:val="clear" w:color="auto" w:fill="auto"/>
            <w:noWrap/>
            <w:vAlign w:val="bottom"/>
            <w:hideMark/>
          </w:tcPr>
          <w:p w14:paraId="435A011E" w14:textId="77777777" w:rsidR="003971A1" w:rsidRPr="00256C23" w:rsidRDefault="003971A1" w:rsidP="008E7934">
            <w:pPr>
              <w:spacing w:after="0" w:line="240" w:lineRule="auto"/>
              <w:jc w:val="right"/>
              <w:rPr>
                <w:rFonts w:ascii="Times New Roman" w:eastAsia="Times New Roman" w:hAnsi="Times New Roman" w:cs="Times New Roman"/>
                <w:color w:val="000000"/>
                <w:sz w:val="24"/>
                <w:szCs w:val="24"/>
              </w:rPr>
            </w:pPr>
            <w:r w:rsidRPr="00256C23">
              <w:rPr>
                <w:rFonts w:ascii="Times New Roman" w:eastAsia="Times New Roman" w:hAnsi="Times New Roman" w:cs="Times New Roman"/>
                <w:color w:val="000000"/>
                <w:sz w:val="24"/>
                <w:szCs w:val="24"/>
              </w:rPr>
              <w:t>2.00</w:t>
            </w:r>
          </w:p>
        </w:tc>
        <w:tc>
          <w:tcPr>
            <w:tcW w:w="1249" w:type="dxa"/>
            <w:tcBorders>
              <w:top w:val="nil"/>
              <w:left w:val="nil"/>
              <w:bottom w:val="nil"/>
              <w:right w:val="nil"/>
            </w:tcBorders>
            <w:shd w:val="clear" w:color="auto" w:fill="auto"/>
            <w:noWrap/>
            <w:vAlign w:val="bottom"/>
            <w:hideMark/>
          </w:tcPr>
          <w:p w14:paraId="6EE9B98E" w14:textId="77777777" w:rsidR="003971A1" w:rsidRPr="00366A4B" w:rsidRDefault="003971A1" w:rsidP="008E7934">
            <w:pPr>
              <w:spacing w:after="0" w:line="240" w:lineRule="auto"/>
              <w:jc w:val="right"/>
              <w:rPr>
                <w:rFonts w:ascii="Times New Roman" w:eastAsia="Times New Roman" w:hAnsi="Times New Roman" w:cs="Times New Roman"/>
                <w:color w:val="000000"/>
                <w:sz w:val="24"/>
                <w:szCs w:val="24"/>
              </w:rPr>
            </w:pPr>
            <w:r w:rsidRPr="00366A4B">
              <w:rPr>
                <w:rFonts w:ascii="Times New Roman" w:eastAsia="Times New Roman" w:hAnsi="Times New Roman" w:cs="Times New Roman"/>
                <w:color w:val="000000"/>
                <w:sz w:val="24"/>
                <w:szCs w:val="24"/>
              </w:rPr>
              <w:t>3.60</w:t>
            </w:r>
          </w:p>
        </w:tc>
        <w:tc>
          <w:tcPr>
            <w:tcW w:w="1249" w:type="dxa"/>
            <w:tcBorders>
              <w:top w:val="nil"/>
              <w:left w:val="nil"/>
              <w:bottom w:val="nil"/>
              <w:right w:val="nil"/>
            </w:tcBorders>
            <w:shd w:val="clear" w:color="auto" w:fill="auto"/>
            <w:noWrap/>
            <w:vAlign w:val="bottom"/>
            <w:hideMark/>
          </w:tcPr>
          <w:p w14:paraId="17807EBD" w14:textId="77777777" w:rsidR="003971A1" w:rsidRPr="00C65707" w:rsidRDefault="003971A1" w:rsidP="008E7934">
            <w:pPr>
              <w:spacing w:after="0" w:line="240" w:lineRule="auto"/>
              <w:jc w:val="right"/>
              <w:rPr>
                <w:rFonts w:ascii="Times New Roman" w:eastAsia="Times New Roman" w:hAnsi="Times New Roman" w:cs="Times New Roman"/>
                <w:color w:val="000000"/>
                <w:sz w:val="24"/>
                <w:szCs w:val="24"/>
              </w:rPr>
            </w:pPr>
            <w:r w:rsidRPr="00C65707">
              <w:rPr>
                <w:rFonts w:ascii="Times New Roman" w:eastAsia="Times New Roman" w:hAnsi="Times New Roman" w:cs="Times New Roman"/>
                <w:color w:val="000000"/>
                <w:sz w:val="24"/>
                <w:szCs w:val="24"/>
              </w:rPr>
              <w:t>1.38</w:t>
            </w:r>
          </w:p>
        </w:tc>
        <w:tc>
          <w:tcPr>
            <w:tcW w:w="1249" w:type="dxa"/>
            <w:tcBorders>
              <w:top w:val="nil"/>
              <w:left w:val="nil"/>
              <w:bottom w:val="nil"/>
              <w:right w:val="nil"/>
            </w:tcBorders>
            <w:shd w:val="clear" w:color="auto" w:fill="auto"/>
            <w:noWrap/>
            <w:vAlign w:val="bottom"/>
            <w:hideMark/>
          </w:tcPr>
          <w:p w14:paraId="378ADFC5" w14:textId="77777777" w:rsidR="003971A1" w:rsidRPr="00C65707" w:rsidRDefault="003971A1" w:rsidP="008E7934">
            <w:pPr>
              <w:spacing w:after="0" w:line="240" w:lineRule="auto"/>
              <w:jc w:val="right"/>
              <w:rPr>
                <w:rFonts w:ascii="Times New Roman" w:eastAsia="Times New Roman" w:hAnsi="Times New Roman" w:cs="Times New Roman"/>
                <w:color w:val="000000"/>
                <w:sz w:val="24"/>
                <w:szCs w:val="24"/>
              </w:rPr>
            </w:pPr>
            <w:r w:rsidRPr="00C65707">
              <w:rPr>
                <w:rFonts w:ascii="Times New Roman" w:eastAsia="Times New Roman" w:hAnsi="Times New Roman" w:cs="Times New Roman"/>
                <w:color w:val="000000"/>
                <w:sz w:val="24"/>
                <w:szCs w:val="24"/>
              </w:rPr>
              <w:t>2.49</w:t>
            </w:r>
          </w:p>
        </w:tc>
        <w:tc>
          <w:tcPr>
            <w:tcW w:w="1249" w:type="dxa"/>
            <w:tcBorders>
              <w:top w:val="nil"/>
              <w:left w:val="nil"/>
              <w:bottom w:val="nil"/>
              <w:right w:val="nil"/>
            </w:tcBorders>
            <w:shd w:val="clear" w:color="auto" w:fill="auto"/>
            <w:noWrap/>
            <w:vAlign w:val="bottom"/>
            <w:hideMark/>
          </w:tcPr>
          <w:p w14:paraId="65B74A80" w14:textId="77777777" w:rsidR="003971A1" w:rsidRPr="00C65707" w:rsidRDefault="003971A1" w:rsidP="008E7934">
            <w:pPr>
              <w:spacing w:after="0" w:line="240" w:lineRule="auto"/>
              <w:jc w:val="right"/>
              <w:rPr>
                <w:rFonts w:ascii="Times New Roman" w:eastAsia="Times New Roman" w:hAnsi="Times New Roman" w:cs="Times New Roman"/>
                <w:color w:val="000000"/>
                <w:sz w:val="24"/>
                <w:szCs w:val="24"/>
              </w:rPr>
            </w:pPr>
            <w:r w:rsidRPr="00C65707">
              <w:rPr>
                <w:rFonts w:ascii="Times New Roman" w:eastAsia="Times New Roman" w:hAnsi="Times New Roman" w:cs="Times New Roman"/>
                <w:color w:val="000000"/>
                <w:sz w:val="24"/>
                <w:szCs w:val="24"/>
              </w:rPr>
              <w:t>1.80</w:t>
            </w:r>
          </w:p>
        </w:tc>
        <w:tc>
          <w:tcPr>
            <w:tcW w:w="1249" w:type="dxa"/>
            <w:tcBorders>
              <w:top w:val="nil"/>
              <w:left w:val="nil"/>
              <w:bottom w:val="nil"/>
              <w:right w:val="nil"/>
            </w:tcBorders>
            <w:shd w:val="clear" w:color="auto" w:fill="auto"/>
            <w:noWrap/>
            <w:vAlign w:val="bottom"/>
            <w:hideMark/>
          </w:tcPr>
          <w:p w14:paraId="43B20AB5" w14:textId="77777777" w:rsidR="003971A1" w:rsidRPr="00C65707" w:rsidRDefault="003971A1" w:rsidP="008E7934">
            <w:pPr>
              <w:spacing w:after="0" w:line="240" w:lineRule="auto"/>
              <w:jc w:val="right"/>
              <w:rPr>
                <w:rFonts w:ascii="Times New Roman" w:eastAsia="Times New Roman" w:hAnsi="Times New Roman" w:cs="Times New Roman"/>
                <w:color w:val="000000"/>
                <w:sz w:val="24"/>
                <w:szCs w:val="24"/>
              </w:rPr>
            </w:pPr>
            <w:r w:rsidRPr="00C65707">
              <w:rPr>
                <w:rFonts w:ascii="Times New Roman" w:eastAsia="Times New Roman" w:hAnsi="Times New Roman" w:cs="Times New Roman"/>
                <w:color w:val="000000"/>
                <w:sz w:val="24"/>
                <w:szCs w:val="24"/>
              </w:rPr>
              <w:t>1.67</w:t>
            </w:r>
          </w:p>
        </w:tc>
        <w:tc>
          <w:tcPr>
            <w:tcW w:w="1832" w:type="dxa"/>
            <w:tcBorders>
              <w:top w:val="nil"/>
              <w:left w:val="nil"/>
              <w:bottom w:val="nil"/>
              <w:right w:val="nil"/>
            </w:tcBorders>
            <w:shd w:val="clear" w:color="auto" w:fill="auto"/>
            <w:noWrap/>
            <w:vAlign w:val="bottom"/>
            <w:hideMark/>
          </w:tcPr>
          <w:p w14:paraId="2051A569" w14:textId="77777777" w:rsidR="003971A1" w:rsidRPr="00C65707" w:rsidRDefault="003971A1" w:rsidP="008E7934">
            <w:pPr>
              <w:spacing w:after="0" w:line="240" w:lineRule="auto"/>
              <w:jc w:val="center"/>
              <w:rPr>
                <w:rFonts w:ascii="Times New Roman" w:eastAsia="Times New Roman" w:hAnsi="Times New Roman" w:cs="Times New Roman"/>
                <w:color w:val="000000"/>
                <w:sz w:val="24"/>
                <w:szCs w:val="24"/>
              </w:rPr>
            </w:pPr>
            <w:r w:rsidRPr="00C65707">
              <w:rPr>
                <w:rFonts w:ascii="Times New Roman" w:eastAsia="Times New Roman" w:hAnsi="Times New Roman" w:cs="Times New Roman"/>
                <w:color w:val="000000"/>
                <w:sz w:val="24"/>
                <w:szCs w:val="24"/>
              </w:rPr>
              <w:t>0.275</w:t>
            </w:r>
          </w:p>
        </w:tc>
      </w:tr>
      <w:tr w:rsidR="003971A1" w:rsidRPr="00D7040E" w14:paraId="2CDB2870" w14:textId="77777777" w:rsidTr="008E7934">
        <w:trPr>
          <w:trHeight w:val="290"/>
          <w:jc w:val="center"/>
        </w:trPr>
        <w:tc>
          <w:tcPr>
            <w:tcW w:w="4354" w:type="dxa"/>
            <w:tcBorders>
              <w:top w:val="nil"/>
              <w:left w:val="nil"/>
              <w:bottom w:val="nil"/>
              <w:right w:val="nil"/>
            </w:tcBorders>
            <w:shd w:val="clear" w:color="auto" w:fill="auto"/>
            <w:noWrap/>
            <w:vAlign w:val="bottom"/>
            <w:hideMark/>
          </w:tcPr>
          <w:p w14:paraId="72371EE4" w14:textId="77777777" w:rsidR="003971A1" w:rsidRPr="00D20563" w:rsidRDefault="003971A1" w:rsidP="008E7934">
            <w:pPr>
              <w:spacing w:after="0" w:line="240" w:lineRule="auto"/>
              <w:rPr>
                <w:rFonts w:ascii="Times New Roman" w:eastAsia="Times New Roman" w:hAnsi="Times New Roman" w:cs="Times New Roman"/>
                <w:color w:val="000000"/>
                <w:sz w:val="24"/>
                <w:szCs w:val="24"/>
              </w:rPr>
            </w:pPr>
            <w:r w:rsidRPr="00C65707">
              <w:rPr>
                <w:rFonts w:ascii="Times New Roman" w:eastAsia="Times New Roman" w:hAnsi="Times New Roman" w:cs="Times New Roman"/>
                <w:color w:val="000000"/>
                <w:sz w:val="24"/>
                <w:szCs w:val="24"/>
              </w:rPr>
              <w:t xml:space="preserve">     2018</w:t>
            </w:r>
          </w:p>
        </w:tc>
        <w:tc>
          <w:tcPr>
            <w:tcW w:w="1249" w:type="dxa"/>
            <w:tcBorders>
              <w:top w:val="nil"/>
              <w:left w:val="nil"/>
              <w:bottom w:val="nil"/>
              <w:right w:val="nil"/>
            </w:tcBorders>
            <w:shd w:val="clear" w:color="auto" w:fill="auto"/>
            <w:noWrap/>
            <w:vAlign w:val="bottom"/>
            <w:hideMark/>
          </w:tcPr>
          <w:p w14:paraId="47A91022" w14:textId="77777777" w:rsidR="003971A1" w:rsidRPr="00256C23" w:rsidRDefault="003971A1" w:rsidP="008E7934">
            <w:pPr>
              <w:spacing w:after="0" w:line="240" w:lineRule="auto"/>
              <w:jc w:val="right"/>
              <w:rPr>
                <w:rFonts w:ascii="Times New Roman" w:eastAsia="Times New Roman" w:hAnsi="Times New Roman" w:cs="Times New Roman"/>
                <w:color w:val="000000"/>
                <w:sz w:val="24"/>
                <w:szCs w:val="24"/>
              </w:rPr>
            </w:pPr>
            <w:r w:rsidRPr="00256C23">
              <w:rPr>
                <w:rFonts w:ascii="Times New Roman" w:eastAsia="Times New Roman" w:hAnsi="Times New Roman" w:cs="Times New Roman"/>
                <w:color w:val="000000"/>
                <w:sz w:val="24"/>
                <w:szCs w:val="24"/>
              </w:rPr>
              <w:t>2.25</w:t>
            </w:r>
          </w:p>
        </w:tc>
        <w:tc>
          <w:tcPr>
            <w:tcW w:w="1249" w:type="dxa"/>
            <w:tcBorders>
              <w:top w:val="nil"/>
              <w:left w:val="nil"/>
              <w:bottom w:val="nil"/>
              <w:right w:val="nil"/>
            </w:tcBorders>
            <w:shd w:val="clear" w:color="auto" w:fill="auto"/>
            <w:noWrap/>
            <w:vAlign w:val="bottom"/>
            <w:hideMark/>
          </w:tcPr>
          <w:p w14:paraId="3BDCB335" w14:textId="77777777" w:rsidR="003971A1" w:rsidRPr="00366A4B" w:rsidRDefault="003971A1" w:rsidP="008E7934">
            <w:pPr>
              <w:spacing w:after="0" w:line="240" w:lineRule="auto"/>
              <w:jc w:val="right"/>
              <w:rPr>
                <w:rFonts w:ascii="Times New Roman" w:eastAsia="Times New Roman" w:hAnsi="Times New Roman" w:cs="Times New Roman"/>
                <w:color w:val="000000"/>
                <w:sz w:val="24"/>
                <w:szCs w:val="24"/>
              </w:rPr>
            </w:pPr>
            <w:r w:rsidRPr="00366A4B">
              <w:rPr>
                <w:rFonts w:ascii="Times New Roman" w:eastAsia="Times New Roman" w:hAnsi="Times New Roman" w:cs="Times New Roman"/>
                <w:color w:val="000000"/>
                <w:sz w:val="24"/>
                <w:szCs w:val="24"/>
              </w:rPr>
              <w:t>5.00</w:t>
            </w:r>
          </w:p>
        </w:tc>
        <w:tc>
          <w:tcPr>
            <w:tcW w:w="1249" w:type="dxa"/>
            <w:tcBorders>
              <w:top w:val="nil"/>
              <w:left w:val="nil"/>
              <w:bottom w:val="nil"/>
              <w:right w:val="nil"/>
            </w:tcBorders>
            <w:shd w:val="clear" w:color="auto" w:fill="auto"/>
            <w:noWrap/>
            <w:vAlign w:val="bottom"/>
            <w:hideMark/>
          </w:tcPr>
          <w:p w14:paraId="1CD3BD57" w14:textId="77777777" w:rsidR="003971A1" w:rsidRPr="00C65707" w:rsidRDefault="003971A1" w:rsidP="008E7934">
            <w:pPr>
              <w:spacing w:after="0" w:line="240" w:lineRule="auto"/>
              <w:jc w:val="right"/>
              <w:rPr>
                <w:rFonts w:ascii="Times New Roman" w:eastAsia="Times New Roman" w:hAnsi="Times New Roman" w:cs="Times New Roman"/>
                <w:color w:val="000000"/>
                <w:sz w:val="24"/>
                <w:szCs w:val="24"/>
              </w:rPr>
            </w:pPr>
            <w:r w:rsidRPr="00C65707">
              <w:rPr>
                <w:rFonts w:ascii="Times New Roman" w:eastAsia="Times New Roman" w:hAnsi="Times New Roman" w:cs="Times New Roman"/>
                <w:color w:val="000000"/>
                <w:sz w:val="24"/>
                <w:szCs w:val="24"/>
              </w:rPr>
              <w:t>1.50</w:t>
            </w:r>
          </w:p>
        </w:tc>
        <w:tc>
          <w:tcPr>
            <w:tcW w:w="1249" w:type="dxa"/>
            <w:tcBorders>
              <w:top w:val="nil"/>
              <w:left w:val="nil"/>
              <w:bottom w:val="nil"/>
              <w:right w:val="nil"/>
            </w:tcBorders>
            <w:shd w:val="clear" w:color="auto" w:fill="auto"/>
            <w:noWrap/>
            <w:vAlign w:val="bottom"/>
            <w:hideMark/>
          </w:tcPr>
          <w:p w14:paraId="02137838" w14:textId="77777777" w:rsidR="003971A1" w:rsidRPr="00C65707" w:rsidRDefault="003971A1" w:rsidP="008E7934">
            <w:pPr>
              <w:spacing w:after="0" w:line="240" w:lineRule="auto"/>
              <w:jc w:val="right"/>
              <w:rPr>
                <w:rFonts w:ascii="Times New Roman" w:eastAsia="Times New Roman" w:hAnsi="Times New Roman" w:cs="Times New Roman"/>
                <w:color w:val="000000"/>
                <w:sz w:val="24"/>
                <w:szCs w:val="24"/>
              </w:rPr>
            </w:pPr>
            <w:r w:rsidRPr="00C65707">
              <w:rPr>
                <w:rFonts w:ascii="Times New Roman" w:eastAsia="Times New Roman" w:hAnsi="Times New Roman" w:cs="Times New Roman"/>
                <w:color w:val="000000"/>
                <w:sz w:val="24"/>
                <w:szCs w:val="24"/>
              </w:rPr>
              <w:t>3.33</w:t>
            </w:r>
          </w:p>
        </w:tc>
        <w:tc>
          <w:tcPr>
            <w:tcW w:w="1249" w:type="dxa"/>
            <w:tcBorders>
              <w:top w:val="nil"/>
              <w:left w:val="nil"/>
              <w:bottom w:val="nil"/>
              <w:right w:val="nil"/>
            </w:tcBorders>
            <w:shd w:val="clear" w:color="auto" w:fill="auto"/>
            <w:noWrap/>
            <w:vAlign w:val="bottom"/>
            <w:hideMark/>
          </w:tcPr>
          <w:p w14:paraId="3FF7A601" w14:textId="77777777" w:rsidR="003971A1" w:rsidRPr="00C65707" w:rsidRDefault="003971A1" w:rsidP="008E7934">
            <w:pPr>
              <w:spacing w:after="0" w:line="240" w:lineRule="auto"/>
              <w:jc w:val="right"/>
              <w:rPr>
                <w:rFonts w:ascii="Times New Roman" w:eastAsia="Times New Roman" w:hAnsi="Times New Roman" w:cs="Times New Roman"/>
                <w:color w:val="000000"/>
                <w:sz w:val="24"/>
                <w:szCs w:val="24"/>
              </w:rPr>
            </w:pPr>
            <w:r w:rsidRPr="00C65707">
              <w:rPr>
                <w:rFonts w:ascii="Times New Roman" w:eastAsia="Times New Roman" w:hAnsi="Times New Roman" w:cs="Times New Roman"/>
                <w:color w:val="000000"/>
                <w:sz w:val="24"/>
                <w:szCs w:val="24"/>
              </w:rPr>
              <w:t>2.22</w:t>
            </w:r>
          </w:p>
        </w:tc>
        <w:tc>
          <w:tcPr>
            <w:tcW w:w="1249" w:type="dxa"/>
            <w:tcBorders>
              <w:top w:val="nil"/>
              <w:left w:val="nil"/>
              <w:bottom w:val="nil"/>
              <w:right w:val="nil"/>
            </w:tcBorders>
            <w:shd w:val="clear" w:color="auto" w:fill="auto"/>
            <w:noWrap/>
            <w:vAlign w:val="bottom"/>
            <w:hideMark/>
          </w:tcPr>
          <w:p w14:paraId="1AA84DE8" w14:textId="77777777" w:rsidR="003971A1" w:rsidRPr="00C65707" w:rsidRDefault="003971A1" w:rsidP="008E7934">
            <w:pPr>
              <w:spacing w:after="0" w:line="240" w:lineRule="auto"/>
              <w:jc w:val="right"/>
              <w:rPr>
                <w:rFonts w:ascii="Times New Roman" w:eastAsia="Times New Roman" w:hAnsi="Times New Roman" w:cs="Times New Roman"/>
                <w:color w:val="000000"/>
                <w:sz w:val="24"/>
                <w:szCs w:val="24"/>
              </w:rPr>
            </w:pPr>
            <w:r w:rsidRPr="00C65707">
              <w:rPr>
                <w:rFonts w:ascii="Times New Roman" w:eastAsia="Times New Roman" w:hAnsi="Times New Roman" w:cs="Times New Roman"/>
                <w:color w:val="000000"/>
                <w:sz w:val="24"/>
                <w:szCs w:val="24"/>
              </w:rPr>
              <w:t>2.60</w:t>
            </w:r>
          </w:p>
        </w:tc>
        <w:tc>
          <w:tcPr>
            <w:tcW w:w="1832" w:type="dxa"/>
            <w:tcBorders>
              <w:top w:val="nil"/>
              <w:left w:val="nil"/>
              <w:bottom w:val="nil"/>
              <w:right w:val="nil"/>
            </w:tcBorders>
            <w:shd w:val="clear" w:color="auto" w:fill="auto"/>
            <w:noWrap/>
            <w:vAlign w:val="bottom"/>
            <w:hideMark/>
          </w:tcPr>
          <w:p w14:paraId="45C18A15" w14:textId="77777777" w:rsidR="003971A1" w:rsidRPr="00C65707" w:rsidRDefault="003971A1" w:rsidP="008E7934">
            <w:pPr>
              <w:spacing w:after="0" w:line="240" w:lineRule="auto"/>
              <w:jc w:val="center"/>
              <w:rPr>
                <w:rFonts w:ascii="Times New Roman" w:eastAsia="Times New Roman" w:hAnsi="Times New Roman" w:cs="Times New Roman"/>
                <w:color w:val="000000"/>
                <w:sz w:val="24"/>
                <w:szCs w:val="24"/>
              </w:rPr>
            </w:pPr>
            <w:r w:rsidRPr="00C65707">
              <w:rPr>
                <w:rFonts w:ascii="Times New Roman" w:eastAsia="Times New Roman" w:hAnsi="Times New Roman" w:cs="Times New Roman"/>
                <w:color w:val="000000"/>
                <w:sz w:val="24"/>
                <w:szCs w:val="24"/>
              </w:rPr>
              <w:t>0.383</w:t>
            </w:r>
          </w:p>
        </w:tc>
      </w:tr>
      <w:tr w:rsidR="003971A1" w:rsidRPr="00D7040E" w14:paraId="73740511" w14:textId="77777777" w:rsidTr="008E7934">
        <w:trPr>
          <w:trHeight w:val="90"/>
          <w:jc w:val="center"/>
        </w:trPr>
        <w:tc>
          <w:tcPr>
            <w:tcW w:w="4354" w:type="dxa"/>
            <w:tcBorders>
              <w:top w:val="nil"/>
              <w:left w:val="nil"/>
              <w:bottom w:val="nil"/>
              <w:right w:val="nil"/>
            </w:tcBorders>
            <w:shd w:val="clear" w:color="auto" w:fill="auto"/>
            <w:noWrap/>
            <w:vAlign w:val="bottom"/>
            <w:hideMark/>
          </w:tcPr>
          <w:p w14:paraId="6EAB1E3C" w14:textId="77777777" w:rsidR="003971A1" w:rsidRPr="00C65707" w:rsidRDefault="003971A1" w:rsidP="008E7934">
            <w:pPr>
              <w:spacing w:after="0" w:line="240" w:lineRule="auto"/>
              <w:jc w:val="right"/>
              <w:rPr>
                <w:rFonts w:ascii="Times New Roman" w:eastAsia="Times New Roman" w:hAnsi="Times New Roman" w:cs="Times New Roman"/>
                <w:color w:val="000000"/>
                <w:sz w:val="24"/>
                <w:szCs w:val="24"/>
              </w:rPr>
            </w:pPr>
          </w:p>
        </w:tc>
        <w:tc>
          <w:tcPr>
            <w:tcW w:w="1249" w:type="dxa"/>
            <w:tcBorders>
              <w:top w:val="nil"/>
              <w:left w:val="nil"/>
              <w:bottom w:val="nil"/>
              <w:right w:val="nil"/>
            </w:tcBorders>
            <w:shd w:val="clear" w:color="auto" w:fill="auto"/>
            <w:noWrap/>
            <w:vAlign w:val="bottom"/>
            <w:hideMark/>
          </w:tcPr>
          <w:p w14:paraId="35B3E3ED" w14:textId="77777777" w:rsidR="003971A1" w:rsidRPr="00256C23" w:rsidRDefault="003971A1" w:rsidP="008E7934">
            <w:pPr>
              <w:spacing w:after="0" w:line="240" w:lineRule="auto"/>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noWrap/>
            <w:vAlign w:val="bottom"/>
            <w:hideMark/>
          </w:tcPr>
          <w:p w14:paraId="513BC5F3" w14:textId="77777777" w:rsidR="003971A1" w:rsidRPr="00366A4B" w:rsidRDefault="003971A1" w:rsidP="008E7934">
            <w:pPr>
              <w:spacing w:after="0" w:line="240" w:lineRule="auto"/>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noWrap/>
            <w:vAlign w:val="bottom"/>
            <w:hideMark/>
          </w:tcPr>
          <w:p w14:paraId="7D25E6B9" w14:textId="77777777" w:rsidR="003971A1" w:rsidRPr="00366A4B" w:rsidRDefault="003971A1" w:rsidP="008E7934">
            <w:pPr>
              <w:spacing w:after="0" w:line="240" w:lineRule="auto"/>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noWrap/>
            <w:vAlign w:val="bottom"/>
            <w:hideMark/>
          </w:tcPr>
          <w:p w14:paraId="3211332E" w14:textId="77777777" w:rsidR="003971A1" w:rsidRPr="00366A4B" w:rsidRDefault="003971A1" w:rsidP="008E7934">
            <w:pPr>
              <w:spacing w:after="0" w:line="240" w:lineRule="auto"/>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noWrap/>
            <w:vAlign w:val="bottom"/>
            <w:hideMark/>
          </w:tcPr>
          <w:p w14:paraId="58E53BCF" w14:textId="77777777" w:rsidR="003971A1" w:rsidRPr="00C65707" w:rsidRDefault="003971A1" w:rsidP="008E7934">
            <w:pPr>
              <w:spacing w:after="0" w:line="240" w:lineRule="auto"/>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noWrap/>
            <w:vAlign w:val="bottom"/>
            <w:hideMark/>
          </w:tcPr>
          <w:p w14:paraId="6D3454B4" w14:textId="77777777" w:rsidR="003971A1" w:rsidRPr="00C65707" w:rsidRDefault="003971A1" w:rsidP="008E7934">
            <w:pPr>
              <w:spacing w:after="0" w:line="240" w:lineRule="auto"/>
              <w:rPr>
                <w:rFonts w:ascii="Times New Roman" w:eastAsia="Times New Roman" w:hAnsi="Times New Roman" w:cs="Times New Roman"/>
                <w:sz w:val="24"/>
                <w:szCs w:val="24"/>
              </w:rPr>
            </w:pPr>
          </w:p>
        </w:tc>
        <w:tc>
          <w:tcPr>
            <w:tcW w:w="1832" w:type="dxa"/>
            <w:tcBorders>
              <w:top w:val="nil"/>
              <w:left w:val="nil"/>
              <w:bottom w:val="nil"/>
              <w:right w:val="nil"/>
            </w:tcBorders>
            <w:shd w:val="clear" w:color="auto" w:fill="auto"/>
            <w:noWrap/>
            <w:vAlign w:val="bottom"/>
            <w:hideMark/>
          </w:tcPr>
          <w:p w14:paraId="0BA27BCC" w14:textId="77777777" w:rsidR="003971A1" w:rsidRPr="00C65707" w:rsidRDefault="003971A1" w:rsidP="008E7934">
            <w:pPr>
              <w:spacing w:after="0" w:line="240" w:lineRule="auto"/>
              <w:jc w:val="center"/>
              <w:rPr>
                <w:rFonts w:ascii="Times New Roman" w:eastAsia="Times New Roman" w:hAnsi="Times New Roman" w:cs="Times New Roman"/>
                <w:sz w:val="24"/>
                <w:szCs w:val="24"/>
              </w:rPr>
            </w:pPr>
          </w:p>
        </w:tc>
      </w:tr>
      <w:tr w:rsidR="003971A1" w:rsidRPr="00D7040E" w14:paraId="15314E66" w14:textId="77777777" w:rsidTr="008E7934">
        <w:trPr>
          <w:trHeight w:val="576"/>
          <w:jc w:val="center"/>
        </w:trPr>
        <w:tc>
          <w:tcPr>
            <w:tcW w:w="4354" w:type="dxa"/>
            <w:tcBorders>
              <w:top w:val="nil"/>
              <w:left w:val="nil"/>
              <w:bottom w:val="nil"/>
              <w:right w:val="nil"/>
            </w:tcBorders>
            <w:shd w:val="clear" w:color="auto" w:fill="auto"/>
            <w:noWrap/>
            <w:vAlign w:val="bottom"/>
            <w:hideMark/>
          </w:tcPr>
          <w:p w14:paraId="44F353B6" w14:textId="77777777" w:rsidR="003971A1" w:rsidRPr="00C65707" w:rsidRDefault="003971A1" w:rsidP="008E7934">
            <w:pPr>
              <w:spacing w:after="0" w:line="240" w:lineRule="auto"/>
              <w:rPr>
                <w:rFonts w:ascii="Times New Roman" w:eastAsia="Times New Roman" w:hAnsi="Times New Roman" w:cs="Times New Roman"/>
                <w:color w:val="000000"/>
                <w:sz w:val="24"/>
                <w:szCs w:val="24"/>
              </w:rPr>
            </w:pPr>
            <w:r w:rsidRPr="00C65707">
              <w:rPr>
                <w:rFonts w:ascii="Times New Roman" w:eastAsia="Times New Roman" w:hAnsi="Times New Roman" w:cs="Times New Roman"/>
                <w:b/>
                <w:color w:val="000000"/>
                <w:sz w:val="24"/>
                <w:szCs w:val="24"/>
              </w:rPr>
              <w:t>Panel B: 2018 Simulations</w:t>
            </w:r>
          </w:p>
        </w:tc>
        <w:tc>
          <w:tcPr>
            <w:tcW w:w="1249" w:type="dxa"/>
            <w:tcBorders>
              <w:top w:val="nil"/>
              <w:left w:val="nil"/>
              <w:bottom w:val="nil"/>
              <w:right w:val="nil"/>
            </w:tcBorders>
            <w:shd w:val="clear" w:color="auto" w:fill="auto"/>
            <w:noWrap/>
            <w:vAlign w:val="bottom"/>
            <w:hideMark/>
          </w:tcPr>
          <w:p w14:paraId="45DF54BE" w14:textId="77777777" w:rsidR="003971A1" w:rsidRPr="00256C23" w:rsidRDefault="003971A1" w:rsidP="008E7934">
            <w:pPr>
              <w:spacing w:after="0" w:line="240" w:lineRule="auto"/>
              <w:rPr>
                <w:rFonts w:ascii="Times New Roman" w:eastAsia="Times New Roman" w:hAnsi="Times New Roman" w:cs="Times New Roman"/>
                <w:color w:val="000000"/>
                <w:sz w:val="24"/>
                <w:szCs w:val="24"/>
              </w:rPr>
            </w:pPr>
          </w:p>
        </w:tc>
        <w:tc>
          <w:tcPr>
            <w:tcW w:w="1249" w:type="dxa"/>
            <w:tcBorders>
              <w:top w:val="nil"/>
              <w:left w:val="nil"/>
              <w:bottom w:val="nil"/>
              <w:right w:val="nil"/>
            </w:tcBorders>
            <w:shd w:val="clear" w:color="auto" w:fill="auto"/>
            <w:noWrap/>
            <w:vAlign w:val="bottom"/>
            <w:hideMark/>
          </w:tcPr>
          <w:p w14:paraId="23C2DEE2" w14:textId="77777777" w:rsidR="003971A1" w:rsidRPr="00366A4B" w:rsidRDefault="003971A1" w:rsidP="008E7934">
            <w:pPr>
              <w:spacing w:after="0" w:line="240" w:lineRule="auto"/>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noWrap/>
            <w:vAlign w:val="bottom"/>
            <w:hideMark/>
          </w:tcPr>
          <w:p w14:paraId="05ED401F" w14:textId="77777777" w:rsidR="003971A1" w:rsidRPr="00366A4B" w:rsidRDefault="003971A1" w:rsidP="008E7934">
            <w:pPr>
              <w:spacing w:after="0" w:line="240" w:lineRule="auto"/>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noWrap/>
            <w:vAlign w:val="bottom"/>
            <w:hideMark/>
          </w:tcPr>
          <w:p w14:paraId="79C1ABB1" w14:textId="77777777" w:rsidR="003971A1" w:rsidRPr="00366A4B" w:rsidRDefault="003971A1" w:rsidP="008E7934">
            <w:pPr>
              <w:spacing w:after="0" w:line="240" w:lineRule="auto"/>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noWrap/>
            <w:vAlign w:val="bottom"/>
            <w:hideMark/>
          </w:tcPr>
          <w:p w14:paraId="15E49B9E" w14:textId="77777777" w:rsidR="003971A1" w:rsidRPr="00C65707" w:rsidRDefault="003971A1" w:rsidP="008E7934">
            <w:pPr>
              <w:spacing w:after="0" w:line="240" w:lineRule="auto"/>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noWrap/>
            <w:vAlign w:val="bottom"/>
            <w:hideMark/>
          </w:tcPr>
          <w:p w14:paraId="7E32A8AD" w14:textId="77777777" w:rsidR="003971A1" w:rsidRPr="00C65707" w:rsidRDefault="003971A1" w:rsidP="008E7934">
            <w:pPr>
              <w:spacing w:after="0" w:line="240" w:lineRule="auto"/>
              <w:rPr>
                <w:rFonts w:ascii="Times New Roman" w:eastAsia="Times New Roman" w:hAnsi="Times New Roman" w:cs="Times New Roman"/>
                <w:sz w:val="24"/>
                <w:szCs w:val="24"/>
              </w:rPr>
            </w:pPr>
          </w:p>
        </w:tc>
        <w:tc>
          <w:tcPr>
            <w:tcW w:w="1832" w:type="dxa"/>
            <w:tcBorders>
              <w:top w:val="nil"/>
              <w:left w:val="nil"/>
              <w:bottom w:val="nil"/>
              <w:right w:val="nil"/>
            </w:tcBorders>
            <w:shd w:val="clear" w:color="auto" w:fill="auto"/>
            <w:noWrap/>
            <w:vAlign w:val="bottom"/>
            <w:hideMark/>
          </w:tcPr>
          <w:p w14:paraId="787E0276" w14:textId="77777777" w:rsidR="003971A1" w:rsidRPr="00C65707" w:rsidRDefault="003971A1" w:rsidP="008E7934">
            <w:pPr>
              <w:spacing w:after="0" w:line="240" w:lineRule="auto"/>
              <w:jc w:val="center"/>
              <w:rPr>
                <w:rFonts w:ascii="Times New Roman" w:eastAsia="Times New Roman" w:hAnsi="Times New Roman" w:cs="Times New Roman"/>
                <w:sz w:val="24"/>
                <w:szCs w:val="24"/>
              </w:rPr>
            </w:pPr>
          </w:p>
        </w:tc>
      </w:tr>
      <w:tr w:rsidR="003971A1" w:rsidRPr="00D7040E" w14:paraId="6EEDEEF5" w14:textId="77777777" w:rsidTr="008E7934">
        <w:trPr>
          <w:trHeight w:val="290"/>
          <w:jc w:val="center"/>
        </w:trPr>
        <w:tc>
          <w:tcPr>
            <w:tcW w:w="4354" w:type="dxa"/>
            <w:tcBorders>
              <w:top w:val="nil"/>
              <w:left w:val="nil"/>
              <w:bottom w:val="nil"/>
              <w:right w:val="nil"/>
            </w:tcBorders>
            <w:shd w:val="clear" w:color="auto" w:fill="auto"/>
            <w:noWrap/>
            <w:vAlign w:val="bottom"/>
            <w:hideMark/>
          </w:tcPr>
          <w:p w14:paraId="1F995754" w14:textId="77777777" w:rsidR="003971A1" w:rsidRPr="00D20563" w:rsidRDefault="003971A1" w:rsidP="008E7934">
            <w:pPr>
              <w:spacing w:after="0" w:line="240" w:lineRule="auto"/>
              <w:rPr>
                <w:rFonts w:ascii="Times New Roman" w:eastAsia="Times New Roman" w:hAnsi="Times New Roman" w:cs="Times New Roman"/>
                <w:i/>
                <w:color w:val="000000"/>
                <w:sz w:val="24"/>
                <w:szCs w:val="24"/>
              </w:rPr>
            </w:pPr>
            <w:r w:rsidRPr="00C65707">
              <w:rPr>
                <w:rFonts w:ascii="Times New Roman" w:eastAsia="Times New Roman" w:hAnsi="Times New Roman" w:cs="Times New Roman"/>
                <w:color w:val="000000"/>
                <w:sz w:val="24"/>
                <w:szCs w:val="24"/>
              </w:rPr>
              <w:t xml:space="preserve">     </w:t>
            </w:r>
            <w:r w:rsidRPr="00C65707">
              <w:rPr>
                <w:rFonts w:ascii="Times New Roman" w:eastAsia="Times New Roman" w:hAnsi="Times New Roman" w:cs="Times New Roman"/>
                <w:i/>
                <w:color w:val="000000"/>
                <w:sz w:val="24"/>
                <w:szCs w:val="24"/>
              </w:rPr>
              <w:t>Distribution Method</w:t>
            </w:r>
          </w:p>
        </w:tc>
        <w:tc>
          <w:tcPr>
            <w:tcW w:w="1249" w:type="dxa"/>
            <w:tcBorders>
              <w:top w:val="nil"/>
              <w:left w:val="nil"/>
              <w:bottom w:val="nil"/>
              <w:right w:val="nil"/>
            </w:tcBorders>
            <w:shd w:val="clear" w:color="auto" w:fill="auto"/>
            <w:noWrap/>
            <w:vAlign w:val="bottom"/>
            <w:hideMark/>
          </w:tcPr>
          <w:p w14:paraId="58B7F4CD" w14:textId="77777777" w:rsidR="003971A1" w:rsidRPr="00256C23" w:rsidRDefault="003971A1" w:rsidP="008E7934">
            <w:pPr>
              <w:spacing w:after="0" w:line="240" w:lineRule="auto"/>
              <w:rPr>
                <w:rFonts w:ascii="Times New Roman" w:eastAsia="Times New Roman" w:hAnsi="Times New Roman" w:cs="Times New Roman"/>
                <w:color w:val="000000"/>
                <w:sz w:val="24"/>
                <w:szCs w:val="24"/>
              </w:rPr>
            </w:pPr>
          </w:p>
        </w:tc>
        <w:tc>
          <w:tcPr>
            <w:tcW w:w="1249" w:type="dxa"/>
            <w:tcBorders>
              <w:top w:val="nil"/>
              <w:left w:val="nil"/>
              <w:bottom w:val="nil"/>
              <w:right w:val="nil"/>
            </w:tcBorders>
            <w:shd w:val="clear" w:color="auto" w:fill="auto"/>
            <w:noWrap/>
            <w:vAlign w:val="bottom"/>
            <w:hideMark/>
          </w:tcPr>
          <w:p w14:paraId="24373AA9" w14:textId="77777777" w:rsidR="003971A1" w:rsidRPr="00366A4B" w:rsidRDefault="003971A1" w:rsidP="008E7934">
            <w:pPr>
              <w:spacing w:after="0" w:line="240" w:lineRule="auto"/>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noWrap/>
            <w:vAlign w:val="bottom"/>
            <w:hideMark/>
          </w:tcPr>
          <w:p w14:paraId="75D2253B" w14:textId="77777777" w:rsidR="003971A1" w:rsidRPr="00366A4B" w:rsidRDefault="003971A1" w:rsidP="008E7934">
            <w:pPr>
              <w:spacing w:after="0" w:line="240" w:lineRule="auto"/>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noWrap/>
            <w:vAlign w:val="bottom"/>
            <w:hideMark/>
          </w:tcPr>
          <w:p w14:paraId="19EB3F59" w14:textId="77777777" w:rsidR="003971A1" w:rsidRPr="00366A4B" w:rsidRDefault="003971A1" w:rsidP="008E7934">
            <w:pPr>
              <w:spacing w:after="0" w:line="240" w:lineRule="auto"/>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noWrap/>
            <w:vAlign w:val="bottom"/>
            <w:hideMark/>
          </w:tcPr>
          <w:p w14:paraId="70E9F6FF" w14:textId="77777777" w:rsidR="003971A1" w:rsidRPr="00C65707" w:rsidRDefault="003971A1" w:rsidP="008E7934">
            <w:pPr>
              <w:spacing w:after="0" w:line="240" w:lineRule="auto"/>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noWrap/>
            <w:vAlign w:val="bottom"/>
            <w:hideMark/>
          </w:tcPr>
          <w:p w14:paraId="5AB58148" w14:textId="77777777" w:rsidR="003971A1" w:rsidRPr="00C65707" w:rsidRDefault="003971A1" w:rsidP="008E7934">
            <w:pPr>
              <w:spacing w:after="0" w:line="240" w:lineRule="auto"/>
              <w:rPr>
                <w:rFonts w:ascii="Times New Roman" w:eastAsia="Times New Roman" w:hAnsi="Times New Roman" w:cs="Times New Roman"/>
                <w:sz w:val="24"/>
                <w:szCs w:val="24"/>
              </w:rPr>
            </w:pPr>
          </w:p>
        </w:tc>
        <w:tc>
          <w:tcPr>
            <w:tcW w:w="1832" w:type="dxa"/>
            <w:tcBorders>
              <w:top w:val="nil"/>
              <w:left w:val="nil"/>
              <w:bottom w:val="nil"/>
              <w:right w:val="nil"/>
            </w:tcBorders>
            <w:shd w:val="clear" w:color="auto" w:fill="auto"/>
            <w:noWrap/>
            <w:vAlign w:val="bottom"/>
            <w:hideMark/>
          </w:tcPr>
          <w:p w14:paraId="002D8FAF" w14:textId="77777777" w:rsidR="003971A1" w:rsidRPr="00C65707" w:rsidRDefault="003971A1" w:rsidP="008E7934">
            <w:pPr>
              <w:spacing w:after="0" w:line="240" w:lineRule="auto"/>
              <w:jc w:val="center"/>
              <w:rPr>
                <w:rFonts w:ascii="Times New Roman" w:eastAsia="Times New Roman" w:hAnsi="Times New Roman" w:cs="Times New Roman"/>
                <w:sz w:val="24"/>
                <w:szCs w:val="24"/>
              </w:rPr>
            </w:pPr>
          </w:p>
        </w:tc>
      </w:tr>
      <w:tr w:rsidR="003971A1" w:rsidRPr="00D7040E" w14:paraId="21E16432" w14:textId="77777777" w:rsidTr="008E7934">
        <w:trPr>
          <w:trHeight w:val="290"/>
          <w:jc w:val="center"/>
        </w:trPr>
        <w:tc>
          <w:tcPr>
            <w:tcW w:w="4354" w:type="dxa"/>
            <w:tcBorders>
              <w:top w:val="nil"/>
              <w:left w:val="nil"/>
              <w:bottom w:val="nil"/>
              <w:right w:val="nil"/>
            </w:tcBorders>
            <w:shd w:val="clear" w:color="auto" w:fill="auto"/>
            <w:noWrap/>
            <w:vAlign w:val="bottom"/>
            <w:hideMark/>
          </w:tcPr>
          <w:p w14:paraId="38F52AA9" w14:textId="77777777" w:rsidR="003971A1" w:rsidRPr="00D259F5" w:rsidRDefault="003971A1" w:rsidP="008E7934">
            <w:pPr>
              <w:spacing w:after="0" w:line="240" w:lineRule="auto"/>
              <w:rPr>
                <w:rFonts w:ascii="Times New Roman" w:eastAsia="Times New Roman" w:hAnsi="Times New Roman" w:cs="Times New Roman"/>
                <w:color w:val="000000"/>
                <w:sz w:val="24"/>
                <w:szCs w:val="24"/>
              </w:rPr>
            </w:pPr>
            <w:r w:rsidRPr="00C65707">
              <w:rPr>
                <w:rFonts w:ascii="Times New Roman" w:eastAsia="Times New Roman" w:hAnsi="Times New Roman" w:cs="Times New Roman"/>
                <w:color w:val="000000"/>
                <w:sz w:val="24"/>
                <w:szCs w:val="24"/>
              </w:rPr>
              <w:t xml:space="preserve">   </w:t>
            </w:r>
            <w:r w:rsidRPr="00D20563">
              <w:rPr>
                <w:rFonts w:ascii="Times New Roman" w:eastAsia="Times New Roman" w:hAnsi="Times New Roman" w:cs="Times New Roman"/>
                <w:color w:val="000000"/>
                <w:sz w:val="24"/>
                <w:szCs w:val="24"/>
              </w:rPr>
              <w:t xml:space="preserve">     1) R</w:t>
            </w:r>
            <w:r w:rsidRPr="00040264">
              <w:rPr>
                <w:rFonts w:ascii="Times New Roman" w:eastAsia="Times New Roman" w:hAnsi="Times New Roman" w:cs="Times New Roman"/>
                <w:color w:val="000000"/>
                <w:sz w:val="24"/>
                <w:szCs w:val="24"/>
              </w:rPr>
              <w:t xml:space="preserve">aise BA share </w:t>
            </w:r>
            <w:r w:rsidRPr="00EE6CF2">
              <w:rPr>
                <w:rFonts w:ascii="Times New Roman" w:eastAsia="Times New Roman" w:hAnsi="Times New Roman" w:cs="Times New Roman"/>
                <w:color w:val="000000"/>
                <w:sz w:val="24"/>
                <w:szCs w:val="24"/>
              </w:rPr>
              <w:t>to 50%</w:t>
            </w:r>
          </w:p>
        </w:tc>
        <w:tc>
          <w:tcPr>
            <w:tcW w:w="1249" w:type="dxa"/>
            <w:tcBorders>
              <w:top w:val="nil"/>
              <w:left w:val="nil"/>
              <w:bottom w:val="nil"/>
              <w:right w:val="nil"/>
            </w:tcBorders>
            <w:shd w:val="clear" w:color="auto" w:fill="auto"/>
            <w:noWrap/>
            <w:vAlign w:val="bottom"/>
            <w:hideMark/>
          </w:tcPr>
          <w:p w14:paraId="30726EC9" w14:textId="77777777" w:rsidR="003971A1" w:rsidRPr="00630B33" w:rsidRDefault="003971A1" w:rsidP="008E7934">
            <w:pPr>
              <w:spacing w:after="0" w:line="240" w:lineRule="auto"/>
              <w:jc w:val="right"/>
              <w:rPr>
                <w:rFonts w:ascii="Times New Roman" w:eastAsia="Times New Roman" w:hAnsi="Times New Roman" w:cs="Times New Roman"/>
                <w:color w:val="000000"/>
                <w:sz w:val="24"/>
                <w:szCs w:val="24"/>
              </w:rPr>
            </w:pPr>
            <w:r w:rsidRPr="00630B33">
              <w:rPr>
                <w:rFonts w:ascii="Times New Roman" w:hAnsi="Times New Roman" w:cs="Times New Roman"/>
                <w:color w:val="000000"/>
                <w:sz w:val="24"/>
                <w:szCs w:val="24"/>
              </w:rPr>
              <w:t>2.25</w:t>
            </w:r>
          </w:p>
        </w:tc>
        <w:tc>
          <w:tcPr>
            <w:tcW w:w="1249" w:type="dxa"/>
            <w:tcBorders>
              <w:top w:val="nil"/>
              <w:left w:val="nil"/>
              <w:bottom w:val="nil"/>
              <w:right w:val="nil"/>
            </w:tcBorders>
            <w:shd w:val="clear" w:color="auto" w:fill="auto"/>
            <w:noWrap/>
            <w:vAlign w:val="bottom"/>
            <w:hideMark/>
          </w:tcPr>
          <w:p w14:paraId="3110E33F" w14:textId="77777777" w:rsidR="003971A1" w:rsidRPr="00630B33" w:rsidRDefault="003971A1" w:rsidP="008E7934">
            <w:pPr>
              <w:spacing w:after="0" w:line="240" w:lineRule="auto"/>
              <w:jc w:val="right"/>
              <w:rPr>
                <w:rFonts w:ascii="Times New Roman" w:eastAsia="Times New Roman" w:hAnsi="Times New Roman" w:cs="Times New Roman"/>
                <w:color w:val="000000"/>
                <w:sz w:val="24"/>
                <w:szCs w:val="24"/>
              </w:rPr>
            </w:pPr>
            <w:r w:rsidRPr="00630B33">
              <w:rPr>
                <w:rFonts w:ascii="Times New Roman" w:hAnsi="Times New Roman" w:cs="Times New Roman"/>
                <w:color w:val="000000"/>
                <w:sz w:val="24"/>
                <w:szCs w:val="24"/>
              </w:rPr>
              <w:t>4.92</w:t>
            </w:r>
          </w:p>
        </w:tc>
        <w:tc>
          <w:tcPr>
            <w:tcW w:w="1249" w:type="dxa"/>
            <w:tcBorders>
              <w:top w:val="nil"/>
              <w:left w:val="nil"/>
              <w:bottom w:val="nil"/>
              <w:right w:val="nil"/>
            </w:tcBorders>
            <w:shd w:val="clear" w:color="auto" w:fill="auto"/>
            <w:noWrap/>
            <w:vAlign w:val="bottom"/>
            <w:hideMark/>
          </w:tcPr>
          <w:p w14:paraId="6FEAB3A3" w14:textId="77777777" w:rsidR="003971A1" w:rsidRPr="00630B33" w:rsidRDefault="003971A1" w:rsidP="008E7934">
            <w:pPr>
              <w:spacing w:after="0" w:line="240" w:lineRule="auto"/>
              <w:jc w:val="right"/>
              <w:rPr>
                <w:rFonts w:ascii="Times New Roman" w:eastAsia="Times New Roman" w:hAnsi="Times New Roman" w:cs="Times New Roman"/>
                <w:color w:val="000000"/>
                <w:sz w:val="24"/>
                <w:szCs w:val="24"/>
              </w:rPr>
            </w:pPr>
            <w:r w:rsidRPr="00630B33">
              <w:rPr>
                <w:rFonts w:ascii="Times New Roman" w:hAnsi="Times New Roman" w:cs="Times New Roman"/>
                <w:color w:val="000000"/>
                <w:sz w:val="24"/>
                <w:szCs w:val="24"/>
              </w:rPr>
              <w:t>1.50</w:t>
            </w:r>
          </w:p>
        </w:tc>
        <w:tc>
          <w:tcPr>
            <w:tcW w:w="1249" w:type="dxa"/>
            <w:tcBorders>
              <w:top w:val="nil"/>
              <w:left w:val="nil"/>
              <w:bottom w:val="nil"/>
              <w:right w:val="nil"/>
            </w:tcBorders>
            <w:shd w:val="clear" w:color="auto" w:fill="auto"/>
            <w:noWrap/>
            <w:vAlign w:val="bottom"/>
            <w:hideMark/>
          </w:tcPr>
          <w:p w14:paraId="19FA668F" w14:textId="77777777" w:rsidR="003971A1" w:rsidRPr="00630B33" w:rsidRDefault="003971A1" w:rsidP="008E7934">
            <w:pPr>
              <w:spacing w:after="0" w:line="240" w:lineRule="auto"/>
              <w:jc w:val="right"/>
              <w:rPr>
                <w:rFonts w:ascii="Times New Roman" w:eastAsia="Times New Roman" w:hAnsi="Times New Roman" w:cs="Times New Roman"/>
                <w:color w:val="000000"/>
                <w:sz w:val="24"/>
                <w:szCs w:val="24"/>
              </w:rPr>
            </w:pPr>
            <w:r w:rsidRPr="00630B33">
              <w:rPr>
                <w:rFonts w:ascii="Times New Roman" w:hAnsi="Times New Roman" w:cs="Times New Roman"/>
                <w:color w:val="000000"/>
                <w:sz w:val="24"/>
                <w:szCs w:val="24"/>
              </w:rPr>
              <w:t>3.28</w:t>
            </w:r>
          </w:p>
        </w:tc>
        <w:tc>
          <w:tcPr>
            <w:tcW w:w="1249" w:type="dxa"/>
            <w:tcBorders>
              <w:top w:val="nil"/>
              <w:left w:val="nil"/>
              <w:bottom w:val="nil"/>
              <w:right w:val="nil"/>
            </w:tcBorders>
            <w:shd w:val="clear" w:color="auto" w:fill="auto"/>
            <w:noWrap/>
            <w:vAlign w:val="bottom"/>
            <w:hideMark/>
          </w:tcPr>
          <w:p w14:paraId="363D369E" w14:textId="77777777" w:rsidR="003971A1" w:rsidRPr="00630B33" w:rsidRDefault="003971A1" w:rsidP="008E7934">
            <w:pPr>
              <w:spacing w:after="0" w:line="240" w:lineRule="auto"/>
              <w:jc w:val="right"/>
              <w:rPr>
                <w:rFonts w:ascii="Times New Roman" w:eastAsia="Times New Roman" w:hAnsi="Times New Roman" w:cs="Times New Roman"/>
                <w:color w:val="000000"/>
                <w:sz w:val="24"/>
                <w:szCs w:val="24"/>
              </w:rPr>
            </w:pPr>
            <w:r w:rsidRPr="00630B33">
              <w:rPr>
                <w:rFonts w:ascii="Times New Roman" w:hAnsi="Times New Roman" w:cs="Times New Roman"/>
                <w:color w:val="000000"/>
                <w:sz w:val="24"/>
                <w:szCs w:val="24"/>
              </w:rPr>
              <w:t>2.19</w:t>
            </w:r>
          </w:p>
        </w:tc>
        <w:tc>
          <w:tcPr>
            <w:tcW w:w="1249" w:type="dxa"/>
            <w:tcBorders>
              <w:top w:val="nil"/>
              <w:left w:val="nil"/>
              <w:bottom w:val="nil"/>
              <w:right w:val="nil"/>
            </w:tcBorders>
            <w:shd w:val="clear" w:color="auto" w:fill="auto"/>
            <w:noWrap/>
            <w:vAlign w:val="bottom"/>
            <w:hideMark/>
          </w:tcPr>
          <w:p w14:paraId="65652DDA" w14:textId="77777777" w:rsidR="003971A1" w:rsidRPr="00630B33" w:rsidRDefault="003971A1" w:rsidP="008E7934">
            <w:pPr>
              <w:spacing w:after="0" w:line="240" w:lineRule="auto"/>
              <w:jc w:val="right"/>
              <w:rPr>
                <w:rFonts w:ascii="Times New Roman" w:eastAsia="Times New Roman" w:hAnsi="Times New Roman" w:cs="Times New Roman"/>
                <w:color w:val="000000"/>
                <w:sz w:val="24"/>
                <w:szCs w:val="24"/>
              </w:rPr>
            </w:pPr>
            <w:r w:rsidRPr="00630B33">
              <w:rPr>
                <w:rFonts w:ascii="Times New Roman" w:hAnsi="Times New Roman" w:cs="Times New Roman"/>
                <w:color w:val="000000"/>
                <w:sz w:val="24"/>
                <w:szCs w:val="24"/>
              </w:rPr>
              <w:t>2.70</w:t>
            </w:r>
          </w:p>
        </w:tc>
        <w:tc>
          <w:tcPr>
            <w:tcW w:w="1832" w:type="dxa"/>
            <w:tcBorders>
              <w:top w:val="nil"/>
              <w:left w:val="nil"/>
              <w:bottom w:val="nil"/>
              <w:right w:val="nil"/>
            </w:tcBorders>
            <w:shd w:val="clear" w:color="auto" w:fill="auto"/>
            <w:noWrap/>
            <w:vAlign w:val="bottom"/>
            <w:hideMark/>
          </w:tcPr>
          <w:p w14:paraId="759CF7F5" w14:textId="77777777" w:rsidR="003971A1" w:rsidRPr="00630B33" w:rsidRDefault="003971A1" w:rsidP="008E7934">
            <w:pPr>
              <w:spacing w:after="0" w:line="240" w:lineRule="auto"/>
              <w:jc w:val="center"/>
              <w:rPr>
                <w:rFonts w:ascii="Times New Roman" w:eastAsia="Times New Roman" w:hAnsi="Times New Roman" w:cs="Times New Roman"/>
                <w:color w:val="000000"/>
                <w:sz w:val="24"/>
                <w:szCs w:val="24"/>
              </w:rPr>
            </w:pPr>
            <w:r w:rsidRPr="00630B33">
              <w:rPr>
                <w:rFonts w:ascii="Times New Roman" w:hAnsi="Times New Roman" w:cs="Times New Roman"/>
                <w:color w:val="000000"/>
                <w:sz w:val="24"/>
                <w:szCs w:val="24"/>
              </w:rPr>
              <w:t>0.379</w:t>
            </w:r>
          </w:p>
        </w:tc>
      </w:tr>
      <w:tr w:rsidR="003971A1" w:rsidRPr="00D7040E" w14:paraId="320DEDE6" w14:textId="77777777" w:rsidTr="008E7934">
        <w:trPr>
          <w:trHeight w:val="290"/>
          <w:jc w:val="center"/>
        </w:trPr>
        <w:tc>
          <w:tcPr>
            <w:tcW w:w="4354" w:type="dxa"/>
            <w:tcBorders>
              <w:top w:val="nil"/>
              <w:left w:val="nil"/>
              <w:bottom w:val="nil"/>
              <w:right w:val="nil"/>
            </w:tcBorders>
            <w:shd w:val="clear" w:color="auto" w:fill="auto"/>
            <w:noWrap/>
            <w:vAlign w:val="bottom"/>
            <w:hideMark/>
          </w:tcPr>
          <w:p w14:paraId="5ECDA51C" w14:textId="77777777" w:rsidR="003971A1" w:rsidRPr="00EE6CF2" w:rsidRDefault="003971A1" w:rsidP="008E7934">
            <w:pPr>
              <w:spacing w:after="0" w:line="240" w:lineRule="auto"/>
              <w:rPr>
                <w:rFonts w:ascii="Times New Roman" w:eastAsia="Times New Roman" w:hAnsi="Times New Roman" w:cs="Times New Roman"/>
                <w:color w:val="000000"/>
                <w:sz w:val="24"/>
                <w:szCs w:val="24"/>
              </w:rPr>
            </w:pPr>
            <w:r w:rsidRPr="00C65707">
              <w:rPr>
                <w:rFonts w:ascii="Times New Roman" w:eastAsia="Times New Roman" w:hAnsi="Times New Roman" w:cs="Times New Roman"/>
                <w:color w:val="000000"/>
                <w:sz w:val="24"/>
                <w:szCs w:val="24"/>
              </w:rPr>
              <w:t xml:space="preserve">        2) + Raise A</w:t>
            </w:r>
            <w:r w:rsidRPr="00D20563">
              <w:rPr>
                <w:rFonts w:ascii="Times New Roman" w:eastAsia="Times New Roman" w:hAnsi="Times New Roman" w:cs="Times New Roman"/>
                <w:color w:val="000000"/>
                <w:sz w:val="24"/>
                <w:szCs w:val="24"/>
              </w:rPr>
              <w:t>A</w:t>
            </w:r>
            <w:r w:rsidRPr="00040264">
              <w:rPr>
                <w:rFonts w:ascii="Times New Roman" w:eastAsia="Times New Roman" w:hAnsi="Times New Roman" w:cs="Times New Roman"/>
                <w:color w:val="000000"/>
                <w:sz w:val="24"/>
                <w:szCs w:val="24"/>
              </w:rPr>
              <w:t xml:space="preserve"> share to 15%</w:t>
            </w:r>
          </w:p>
        </w:tc>
        <w:tc>
          <w:tcPr>
            <w:tcW w:w="1249" w:type="dxa"/>
            <w:tcBorders>
              <w:top w:val="nil"/>
              <w:left w:val="nil"/>
              <w:bottom w:val="nil"/>
              <w:right w:val="nil"/>
            </w:tcBorders>
            <w:shd w:val="clear" w:color="auto" w:fill="auto"/>
            <w:noWrap/>
            <w:vAlign w:val="bottom"/>
            <w:hideMark/>
          </w:tcPr>
          <w:p w14:paraId="1243FFF0" w14:textId="77777777" w:rsidR="003971A1" w:rsidRPr="00630B33" w:rsidRDefault="003971A1" w:rsidP="008E7934">
            <w:pPr>
              <w:spacing w:after="0" w:line="240" w:lineRule="auto"/>
              <w:jc w:val="right"/>
              <w:rPr>
                <w:rFonts w:ascii="Times New Roman" w:eastAsia="Times New Roman" w:hAnsi="Times New Roman" w:cs="Times New Roman"/>
                <w:color w:val="000000"/>
                <w:sz w:val="24"/>
                <w:szCs w:val="24"/>
              </w:rPr>
            </w:pPr>
            <w:r w:rsidRPr="00630B33">
              <w:rPr>
                <w:rFonts w:ascii="Times New Roman" w:hAnsi="Times New Roman" w:cs="Times New Roman"/>
                <w:color w:val="000000"/>
                <w:sz w:val="24"/>
                <w:szCs w:val="24"/>
              </w:rPr>
              <w:t>2.25</w:t>
            </w:r>
          </w:p>
        </w:tc>
        <w:tc>
          <w:tcPr>
            <w:tcW w:w="1249" w:type="dxa"/>
            <w:tcBorders>
              <w:top w:val="nil"/>
              <w:left w:val="nil"/>
              <w:bottom w:val="nil"/>
              <w:right w:val="nil"/>
            </w:tcBorders>
            <w:shd w:val="clear" w:color="auto" w:fill="auto"/>
            <w:noWrap/>
            <w:vAlign w:val="bottom"/>
            <w:hideMark/>
          </w:tcPr>
          <w:p w14:paraId="55BE48B8" w14:textId="77777777" w:rsidR="003971A1" w:rsidRPr="00630B33" w:rsidRDefault="003971A1" w:rsidP="008E7934">
            <w:pPr>
              <w:spacing w:after="0" w:line="240" w:lineRule="auto"/>
              <w:jc w:val="right"/>
              <w:rPr>
                <w:rFonts w:ascii="Times New Roman" w:eastAsia="Times New Roman" w:hAnsi="Times New Roman" w:cs="Times New Roman"/>
                <w:color w:val="000000"/>
                <w:sz w:val="24"/>
                <w:szCs w:val="24"/>
              </w:rPr>
            </w:pPr>
            <w:r w:rsidRPr="00630B33">
              <w:rPr>
                <w:rFonts w:ascii="Times New Roman" w:hAnsi="Times New Roman" w:cs="Times New Roman"/>
                <w:color w:val="000000"/>
                <w:sz w:val="24"/>
                <w:szCs w:val="24"/>
              </w:rPr>
              <w:t>4.78</w:t>
            </w:r>
          </w:p>
        </w:tc>
        <w:tc>
          <w:tcPr>
            <w:tcW w:w="1249" w:type="dxa"/>
            <w:tcBorders>
              <w:top w:val="nil"/>
              <w:left w:val="nil"/>
              <w:bottom w:val="nil"/>
              <w:right w:val="nil"/>
            </w:tcBorders>
            <w:shd w:val="clear" w:color="auto" w:fill="auto"/>
            <w:noWrap/>
            <w:vAlign w:val="bottom"/>
            <w:hideMark/>
          </w:tcPr>
          <w:p w14:paraId="7FF88CF6" w14:textId="77777777" w:rsidR="003971A1" w:rsidRPr="00630B33" w:rsidRDefault="003971A1" w:rsidP="008E7934">
            <w:pPr>
              <w:spacing w:after="0" w:line="240" w:lineRule="auto"/>
              <w:jc w:val="right"/>
              <w:rPr>
                <w:rFonts w:ascii="Times New Roman" w:eastAsia="Times New Roman" w:hAnsi="Times New Roman" w:cs="Times New Roman"/>
                <w:color w:val="000000"/>
                <w:sz w:val="24"/>
                <w:szCs w:val="24"/>
              </w:rPr>
            </w:pPr>
            <w:r w:rsidRPr="00630B33">
              <w:rPr>
                <w:rFonts w:ascii="Times New Roman" w:hAnsi="Times New Roman" w:cs="Times New Roman"/>
                <w:color w:val="000000"/>
                <w:sz w:val="24"/>
                <w:szCs w:val="24"/>
              </w:rPr>
              <w:t>1.51</w:t>
            </w:r>
          </w:p>
        </w:tc>
        <w:tc>
          <w:tcPr>
            <w:tcW w:w="1249" w:type="dxa"/>
            <w:tcBorders>
              <w:top w:val="nil"/>
              <w:left w:val="nil"/>
              <w:bottom w:val="nil"/>
              <w:right w:val="nil"/>
            </w:tcBorders>
            <w:shd w:val="clear" w:color="auto" w:fill="auto"/>
            <w:noWrap/>
            <w:vAlign w:val="bottom"/>
            <w:hideMark/>
          </w:tcPr>
          <w:p w14:paraId="7D44BC90" w14:textId="77777777" w:rsidR="003971A1" w:rsidRPr="00630B33" w:rsidRDefault="003971A1" w:rsidP="008E7934">
            <w:pPr>
              <w:spacing w:after="0" w:line="240" w:lineRule="auto"/>
              <w:jc w:val="right"/>
              <w:rPr>
                <w:rFonts w:ascii="Times New Roman" w:eastAsia="Times New Roman" w:hAnsi="Times New Roman" w:cs="Times New Roman"/>
                <w:color w:val="000000"/>
                <w:sz w:val="24"/>
                <w:szCs w:val="24"/>
              </w:rPr>
            </w:pPr>
            <w:r w:rsidRPr="00630B33">
              <w:rPr>
                <w:rFonts w:ascii="Times New Roman" w:hAnsi="Times New Roman" w:cs="Times New Roman"/>
                <w:color w:val="000000"/>
                <w:sz w:val="24"/>
                <w:szCs w:val="24"/>
              </w:rPr>
              <w:t>3.20</w:t>
            </w:r>
          </w:p>
        </w:tc>
        <w:tc>
          <w:tcPr>
            <w:tcW w:w="1249" w:type="dxa"/>
            <w:tcBorders>
              <w:top w:val="nil"/>
              <w:left w:val="nil"/>
              <w:bottom w:val="nil"/>
              <w:right w:val="nil"/>
            </w:tcBorders>
            <w:shd w:val="clear" w:color="auto" w:fill="auto"/>
            <w:noWrap/>
            <w:vAlign w:val="bottom"/>
            <w:hideMark/>
          </w:tcPr>
          <w:p w14:paraId="5102E29D" w14:textId="77777777" w:rsidR="003971A1" w:rsidRPr="00630B33" w:rsidRDefault="003971A1" w:rsidP="008E7934">
            <w:pPr>
              <w:spacing w:after="0" w:line="240" w:lineRule="auto"/>
              <w:jc w:val="right"/>
              <w:rPr>
                <w:rFonts w:ascii="Times New Roman" w:eastAsia="Times New Roman" w:hAnsi="Times New Roman" w:cs="Times New Roman"/>
                <w:color w:val="000000"/>
                <w:sz w:val="24"/>
                <w:szCs w:val="24"/>
              </w:rPr>
            </w:pPr>
            <w:r w:rsidRPr="00630B33">
              <w:rPr>
                <w:rFonts w:ascii="Times New Roman" w:hAnsi="Times New Roman" w:cs="Times New Roman"/>
                <w:color w:val="000000"/>
                <w:sz w:val="24"/>
                <w:szCs w:val="24"/>
              </w:rPr>
              <w:t>2.12</w:t>
            </w:r>
          </w:p>
        </w:tc>
        <w:tc>
          <w:tcPr>
            <w:tcW w:w="1249" w:type="dxa"/>
            <w:tcBorders>
              <w:top w:val="nil"/>
              <w:left w:val="nil"/>
              <w:bottom w:val="nil"/>
              <w:right w:val="nil"/>
            </w:tcBorders>
            <w:shd w:val="clear" w:color="auto" w:fill="auto"/>
            <w:noWrap/>
            <w:vAlign w:val="bottom"/>
            <w:hideMark/>
          </w:tcPr>
          <w:p w14:paraId="76BC7613" w14:textId="77777777" w:rsidR="003971A1" w:rsidRPr="00630B33" w:rsidRDefault="003971A1" w:rsidP="008E7934">
            <w:pPr>
              <w:spacing w:after="0" w:line="240" w:lineRule="auto"/>
              <w:jc w:val="right"/>
              <w:rPr>
                <w:rFonts w:ascii="Times New Roman" w:eastAsia="Times New Roman" w:hAnsi="Times New Roman" w:cs="Times New Roman"/>
                <w:color w:val="000000"/>
                <w:sz w:val="24"/>
                <w:szCs w:val="24"/>
              </w:rPr>
            </w:pPr>
            <w:r w:rsidRPr="00630B33">
              <w:rPr>
                <w:rFonts w:ascii="Times New Roman" w:hAnsi="Times New Roman" w:cs="Times New Roman"/>
                <w:color w:val="000000"/>
                <w:sz w:val="24"/>
                <w:szCs w:val="24"/>
              </w:rPr>
              <w:t>2.72</w:t>
            </w:r>
          </w:p>
        </w:tc>
        <w:tc>
          <w:tcPr>
            <w:tcW w:w="1832" w:type="dxa"/>
            <w:tcBorders>
              <w:top w:val="nil"/>
              <w:left w:val="nil"/>
              <w:bottom w:val="nil"/>
              <w:right w:val="nil"/>
            </w:tcBorders>
            <w:shd w:val="clear" w:color="auto" w:fill="auto"/>
            <w:noWrap/>
            <w:vAlign w:val="bottom"/>
            <w:hideMark/>
          </w:tcPr>
          <w:p w14:paraId="370ABD53" w14:textId="77777777" w:rsidR="003971A1" w:rsidRPr="00630B33" w:rsidRDefault="003971A1" w:rsidP="008E7934">
            <w:pPr>
              <w:spacing w:after="0" w:line="240" w:lineRule="auto"/>
              <w:jc w:val="center"/>
              <w:rPr>
                <w:rFonts w:ascii="Times New Roman" w:eastAsia="Times New Roman" w:hAnsi="Times New Roman" w:cs="Times New Roman"/>
                <w:color w:val="000000"/>
                <w:sz w:val="24"/>
                <w:szCs w:val="24"/>
              </w:rPr>
            </w:pPr>
            <w:r w:rsidRPr="00630B33">
              <w:rPr>
                <w:rFonts w:ascii="Times New Roman" w:hAnsi="Times New Roman" w:cs="Times New Roman"/>
                <w:color w:val="000000"/>
                <w:sz w:val="24"/>
                <w:szCs w:val="24"/>
              </w:rPr>
              <w:t>0.375</w:t>
            </w:r>
          </w:p>
        </w:tc>
      </w:tr>
      <w:tr w:rsidR="003971A1" w:rsidRPr="00D7040E" w14:paraId="1E3C7A73" w14:textId="77777777" w:rsidTr="008E7934">
        <w:trPr>
          <w:trHeight w:val="290"/>
          <w:jc w:val="center"/>
        </w:trPr>
        <w:tc>
          <w:tcPr>
            <w:tcW w:w="4354" w:type="dxa"/>
            <w:tcBorders>
              <w:top w:val="nil"/>
              <w:left w:val="nil"/>
              <w:bottom w:val="nil"/>
              <w:right w:val="nil"/>
            </w:tcBorders>
            <w:shd w:val="clear" w:color="auto" w:fill="auto"/>
            <w:noWrap/>
            <w:vAlign w:val="bottom"/>
            <w:hideMark/>
          </w:tcPr>
          <w:p w14:paraId="5B6C54BD" w14:textId="77777777" w:rsidR="003971A1" w:rsidRPr="00256C23" w:rsidRDefault="003971A1" w:rsidP="008E7934">
            <w:pPr>
              <w:spacing w:after="0" w:line="240" w:lineRule="auto"/>
              <w:rPr>
                <w:rFonts w:ascii="Times New Roman" w:eastAsia="Times New Roman" w:hAnsi="Times New Roman" w:cs="Times New Roman"/>
                <w:color w:val="000000"/>
                <w:sz w:val="24"/>
                <w:szCs w:val="24"/>
              </w:rPr>
            </w:pPr>
            <w:r w:rsidRPr="00C65707">
              <w:rPr>
                <w:rFonts w:ascii="Times New Roman" w:eastAsia="Times New Roman" w:hAnsi="Times New Roman" w:cs="Times New Roman"/>
                <w:color w:val="000000"/>
                <w:sz w:val="24"/>
                <w:szCs w:val="24"/>
              </w:rPr>
              <w:t xml:space="preserve">        3) 6</w:t>
            </w:r>
            <w:r w:rsidRPr="00D20563">
              <w:rPr>
                <w:rFonts w:ascii="Times New Roman" w:eastAsia="Times New Roman" w:hAnsi="Times New Roman" w:cs="Times New Roman"/>
                <w:color w:val="000000"/>
                <w:sz w:val="24"/>
                <w:szCs w:val="24"/>
              </w:rPr>
              <w:t xml:space="preserve">0% </w:t>
            </w:r>
            <w:r w:rsidRPr="00040264">
              <w:rPr>
                <w:rFonts w:ascii="Times New Roman" w:eastAsia="Times New Roman" w:hAnsi="Times New Roman" w:cs="Times New Roman"/>
                <w:color w:val="000000"/>
                <w:sz w:val="24"/>
                <w:szCs w:val="24"/>
              </w:rPr>
              <w:t>BA</w:t>
            </w:r>
            <w:r w:rsidRPr="00EE6CF2">
              <w:rPr>
                <w:rFonts w:ascii="Times New Roman" w:eastAsia="Times New Roman" w:hAnsi="Times New Roman" w:cs="Times New Roman"/>
                <w:color w:val="000000"/>
                <w:sz w:val="24"/>
                <w:szCs w:val="24"/>
              </w:rPr>
              <w:t xml:space="preserve"> share</w:t>
            </w:r>
            <w:r w:rsidRPr="00D259F5">
              <w:rPr>
                <w:rFonts w:ascii="Times New Roman" w:eastAsia="Times New Roman" w:hAnsi="Times New Roman" w:cs="Times New Roman"/>
                <w:color w:val="000000"/>
                <w:sz w:val="24"/>
                <w:szCs w:val="24"/>
              </w:rPr>
              <w:t xml:space="preserve">, </w:t>
            </w:r>
            <w:r w:rsidRPr="00D63F9B">
              <w:rPr>
                <w:rFonts w:ascii="Times New Roman" w:eastAsia="Times New Roman" w:hAnsi="Times New Roman" w:cs="Times New Roman"/>
                <w:color w:val="000000"/>
                <w:sz w:val="24"/>
                <w:szCs w:val="24"/>
              </w:rPr>
              <w:t xml:space="preserve">20% </w:t>
            </w:r>
            <w:r w:rsidRPr="00256C23">
              <w:rPr>
                <w:rFonts w:ascii="Times New Roman" w:eastAsia="Times New Roman" w:hAnsi="Times New Roman" w:cs="Times New Roman"/>
                <w:color w:val="000000"/>
                <w:sz w:val="24"/>
                <w:szCs w:val="24"/>
              </w:rPr>
              <w:t>AA share</w:t>
            </w:r>
          </w:p>
        </w:tc>
        <w:tc>
          <w:tcPr>
            <w:tcW w:w="1249" w:type="dxa"/>
            <w:tcBorders>
              <w:top w:val="nil"/>
              <w:left w:val="nil"/>
              <w:bottom w:val="nil"/>
              <w:right w:val="nil"/>
            </w:tcBorders>
            <w:shd w:val="clear" w:color="auto" w:fill="auto"/>
            <w:noWrap/>
            <w:vAlign w:val="bottom"/>
            <w:hideMark/>
          </w:tcPr>
          <w:p w14:paraId="65FBBBBD" w14:textId="77777777" w:rsidR="003971A1" w:rsidRPr="00630B33" w:rsidRDefault="003971A1" w:rsidP="008E7934">
            <w:pPr>
              <w:spacing w:after="0" w:line="240" w:lineRule="auto"/>
              <w:jc w:val="right"/>
              <w:rPr>
                <w:rFonts w:ascii="Times New Roman" w:eastAsia="Times New Roman" w:hAnsi="Times New Roman" w:cs="Times New Roman"/>
                <w:color w:val="000000"/>
                <w:sz w:val="24"/>
                <w:szCs w:val="24"/>
              </w:rPr>
            </w:pPr>
            <w:r w:rsidRPr="00630B33">
              <w:rPr>
                <w:rFonts w:ascii="Times New Roman" w:hAnsi="Times New Roman" w:cs="Times New Roman"/>
                <w:color w:val="000000"/>
                <w:sz w:val="24"/>
                <w:szCs w:val="24"/>
              </w:rPr>
              <w:t>2.02</w:t>
            </w:r>
          </w:p>
        </w:tc>
        <w:tc>
          <w:tcPr>
            <w:tcW w:w="1249" w:type="dxa"/>
            <w:tcBorders>
              <w:top w:val="nil"/>
              <w:left w:val="nil"/>
              <w:bottom w:val="nil"/>
              <w:right w:val="nil"/>
            </w:tcBorders>
            <w:shd w:val="clear" w:color="auto" w:fill="auto"/>
            <w:noWrap/>
            <w:vAlign w:val="bottom"/>
            <w:hideMark/>
          </w:tcPr>
          <w:p w14:paraId="055E1CC7" w14:textId="77777777" w:rsidR="003971A1" w:rsidRPr="00630B33" w:rsidRDefault="003971A1" w:rsidP="008E7934">
            <w:pPr>
              <w:spacing w:after="0" w:line="240" w:lineRule="auto"/>
              <w:jc w:val="right"/>
              <w:rPr>
                <w:rFonts w:ascii="Times New Roman" w:eastAsia="Times New Roman" w:hAnsi="Times New Roman" w:cs="Times New Roman"/>
                <w:color w:val="000000"/>
                <w:sz w:val="24"/>
                <w:szCs w:val="24"/>
              </w:rPr>
            </w:pPr>
            <w:r w:rsidRPr="00630B33">
              <w:rPr>
                <w:rFonts w:ascii="Times New Roman" w:hAnsi="Times New Roman" w:cs="Times New Roman"/>
                <w:color w:val="000000"/>
                <w:sz w:val="24"/>
                <w:szCs w:val="24"/>
              </w:rPr>
              <w:t>4.44</w:t>
            </w:r>
          </w:p>
        </w:tc>
        <w:tc>
          <w:tcPr>
            <w:tcW w:w="1249" w:type="dxa"/>
            <w:tcBorders>
              <w:top w:val="nil"/>
              <w:left w:val="nil"/>
              <w:bottom w:val="nil"/>
              <w:right w:val="nil"/>
            </w:tcBorders>
            <w:shd w:val="clear" w:color="auto" w:fill="auto"/>
            <w:noWrap/>
            <w:vAlign w:val="bottom"/>
            <w:hideMark/>
          </w:tcPr>
          <w:p w14:paraId="0682ACFA" w14:textId="77777777" w:rsidR="003971A1" w:rsidRPr="00630B33" w:rsidRDefault="003971A1" w:rsidP="008E7934">
            <w:pPr>
              <w:spacing w:after="0" w:line="240" w:lineRule="auto"/>
              <w:jc w:val="right"/>
              <w:rPr>
                <w:rFonts w:ascii="Times New Roman" w:eastAsia="Times New Roman" w:hAnsi="Times New Roman" w:cs="Times New Roman"/>
                <w:color w:val="000000"/>
                <w:sz w:val="24"/>
                <w:szCs w:val="24"/>
              </w:rPr>
            </w:pPr>
            <w:r w:rsidRPr="00630B33">
              <w:rPr>
                <w:rFonts w:ascii="Times New Roman" w:hAnsi="Times New Roman" w:cs="Times New Roman"/>
                <w:color w:val="000000"/>
                <w:sz w:val="24"/>
                <w:szCs w:val="24"/>
              </w:rPr>
              <w:t>1.43</w:t>
            </w:r>
          </w:p>
        </w:tc>
        <w:tc>
          <w:tcPr>
            <w:tcW w:w="1249" w:type="dxa"/>
            <w:tcBorders>
              <w:top w:val="nil"/>
              <w:left w:val="nil"/>
              <w:bottom w:val="nil"/>
              <w:right w:val="nil"/>
            </w:tcBorders>
            <w:shd w:val="clear" w:color="auto" w:fill="auto"/>
            <w:noWrap/>
            <w:vAlign w:val="bottom"/>
            <w:hideMark/>
          </w:tcPr>
          <w:p w14:paraId="5E32AC83" w14:textId="77777777" w:rsidR="003971A1" w:rsidRPr="00630B33" w:rsidRDefault="003971A1" w:rsidP="008E7934">
            <w:pPr>
              <w:spacing w:after="0" w:line="240" w:lineRule="auto"/>
              <w:jc w:val="right"/>
              <w:rPr>
                <w:rFonts w:ascii="Times New Roman" w:eastAsia="Times New Roman" w:hAnsi="Times New Roman" w:cs="Times New Roman"/>
                <w:color w:val="000000"/>
                <w:sz w:val="24"/>
                <w:szCs w:val="24"/>
              </w:rPr>
            </w:pPr>
            <w:r w:rsidRPr="00630B33">
              <w:rPr>
                <w:rFonts w:ascii="Times New Roman" w:hAnsi="Times New Roman" w:cs="Times New Roman"/>
                <w:color w:val="000000"/>
                <w:sz w:val="24"/>
                <w:szCs w:val="24"/>
              </w:rPr>
              <w:t>3.14</w:t>
            </w:r>
          </w:p>
        </w:tc>
        <w:tc>
          <w:tcPr>
            <w:tcW w:w="1249" w:type="dxa"/>
            <w:tcBorders>
              <w:top w:val="nil"/>
              <w:left w:val="nil"/>
              <w:bottom w:val="nil"/>
              <w:right w:val="nil"/>
            </w:tcBorders>
            <w:shd w:val="clear" w:color="auto" w:fill="auto"/>
            <w:noWrap/>
            <w:vAlign w:val="bottom"/>
            <w:hideMark/>
          </w:tcPr>
          <w:p w14:paraId="5911188C" w14:textId="77777777" w:rsidR="003971A1" w:rsidRPr="00630B33" w:rsidRDefault="003971A1" w:rsidP="008E7934">
            <w:pPr>
              <w:spacing w:after="0" w:line="240" w:lineRule="auto"/>
              <w:jc w:val="right"/>
              <w:rPr>
                <w:rFonts w:ascii="Times New Roman" w:eastAsia="Times New Roman" w:hAnsi="Times New Roman" w:cs="Times New Roman"/>
                <w:color w:val="000000"/>
                <w:sz w:val="24"/>
                <w:szCs w:val="24"/>
              </w:rPr>
            </w:pPr>
            <w:r w:rsidRPr="00630B33">
              <w:rPr>
                <w:rFonts w:ascii="Times New Roman" w:hAnsi="Times New Roman" w:cs="Times New Roman"/>
                <w:color w:val="000000"/>
                <w:sz w:val="24"/>
                <w:szCs w:val="24"/>
              </w:rPr>
              <w:t>2.20</w:t>
            </w:r>
          </w:p>
        </w:tc>
        <w:tc>
          <w:tcPr>
            <w:tcW w:w="1249" w:type="dxa"/>
            <w:tcBorders>
              <w:top w:val="nil"/>
              <w:left w:val="nil"/>
              <w:bottom w:val="nil"/>
              <w:right w:val="nil"/>
            </w:tcBorders>
            <w:shd w:val="clear" w:color="auto" w:fill="auto"/>
            <w:noWrap/>
            <w:vAlign w:val="bottom"/>
            <w:hideMark/>
          </w:tcPr>
          <w:p w14:paraId="7FE78F78" w14:textId="77777777" w:rsidR="003971A1" w:rsidRPr="00630B33" w:rsidRDefault="003971A1" w:rsidP="008E7934">
            <w:pPr>
              <w:spacing w:after="0" w:line="240" w:lineRule="auto"/>
              <w:jc w:val="right"/>
              <w:rPr>
                <w:rFonts w:ascii="Times New Roman" w:eastAsia="Times New Roman" w:hAnsi="Times New Roman" w:cs="Times New Roman"/>
                <w:color w:val="000000"/>
                <w:sz w:val="24"/>
                <w:szCs w:val="24"/>
              </w:rPr>
            </w:pPr>
            <w:r w:rsidRPr="00630B33">
              <w:rPr>
                <w:rFonts w:ascii="Times New Roman" w:hAnsi="Times New Roman" w:cs="Times New Roman"/>
                <w:color w:val="000000"/>
                <w:sz w:val="24"/>
                <w:szCs w:val="24"/>
              </w:rPr>
              <w:t>2.73</w:t>
            </w:r>
          </w:p>
        </w:tc>
        <w:tc>
          <w:tcPr>
            <w:tcW w:w="1832" w:type="dxa"/>
            <w:tcBorders>
              <w:top w:val="nil"/>
              <w:left w:val="nil"/>
              <w:bottom w:val="nil"/>
              <w:right w:val="nil"/>
            </w:tcBorders>
            <w:shd w:val="clear" w:color="auto" w:fill="auto"/>
            <w:noWrap/>
            <w:vAlign w:val="bottom"/>
            <w:hideMark/>
          </w:tcPr>
          <w:p w14:paraId="7177DBE9" w14:textId="77777777" w:rsidR="003971A1" w:rsidRPr="00630B33" w:rsidRDefault="003971A1" w:rsidP="008E7934">
            <w:pPr>
              <w:spacing w:after="0" w:line="240" w:lineRule="auto"/>
              <w:jc w:val="center"/>
              <w:rPr>
                <w:rFonts w:ascii="Times New Roman" w:eastAsia="Times New Roman" w:hAnsi="Times New Roman" w:cs="Times New Roman"/>
                <w:color w:val="000000"/>
                <w:sz w:val="24"/>
                <w:szCs w:val="24"/>
              </w:rPr>
            </w:pPr>
            <w:r w:rsidRPr="00630B33">
              <w:rPr>
                <w:rFonts w:ascii="Times New Roman" w:hAnsi="Times New Roman" w:cs="Times New Roman"/>
                <w:color w:val="000000"/>
                <w:sz w:val="24"/>
                <w:szCs w:val="24"/>
              </w:rPr>
              <w:t>0.363</w:t>
            </w:r>
          </w:p>
        </w:tc>
      </w:tr>
      <w:tr w:rsidR="003971A1" w:rsidRPr="00D7040E" w14:paraId="5DD9C92A" w14:textId="77777777" w:rsidTr="008E7934">
        <w:trPr>
          <w:trHeight w:val="432"/>
          <w:jc w:val="center"/>
        </w:trPr>
        <w:tc>
          <w:tcPr>
            <w:tcW w:w="4354" w:type="dxa"/>
            <w:tcBorders>
              <w:top w:val="nil"/>
              <w:left w:val="nil"/>
              <w:bottom w:val="nil"/>
              <w:right w:val="nil"/>
            </w:tcBorders>
            <w:shd w:val="clear" w:color="auto" w:fill="auto"/>
            <w:noWrap/>
            <w:vAlign w:val="bottom"/>
            <w:hideMark/>
          </w:tcPr>
          <w:p w14:paraId="11324A8C" w14:textId="77777777" w:rsidR="003971A1" w:rsidRPr="00040264" w:rsidRDefault="003971A1" w:rsidP="008E7934">
            <w:pPr>
              <w:spacing w:after="0" w:line="240" w:lineRule="auto"/>
              <w:rPr>
                <w:rFonts w:ascii="Times New Roman" w:eastAsia="Times New Roman" w:hAnsi="Times New Roman" w:cs="Times New Roman"/>
                <w:i/>
                <w:color w:val="000000"/>
                <w:sz w:val="24"/>
                <w:szCs w:val="24"/>
              </w:rPr>
            </w:pPr>
            <w:r w:rsidRPr="00C65707">
              <w:rPr>
                <w:rFonts w:ascii="Times New Roman" w:eastAsia="Times New Roman" w:hAnsi="Times New Roman" w:cs="Times New Roman"/>
                <w:color w:val="000000"/>
                <w:sz w:val="24"/>
                <w:szCs w:val="24"/>
              </w:rPr>
              <w:t xml:space="preserve">     </w:t>
            </w:r>
            <w:r w:rsidRPr="00D20563">
              <w:rPr>
                <w:rFonts w:ascii="Times New Roman" w:eastAsia="Times New Roman" w:hAnsi="Times New Roman" w:cs="Times New Roman"/>
                <w:i/>
                <w:color w:val="000000"/>
                <w:sz w:val="24"/>
                <w:szCs w:val="24"/>
              </w:rPr>
              <w:t>Causal Parameter Method</w:t>
            </w:r>
          </w:p>
        </w:tc>
        <w:tc>
          <w:tcPr>
            <w:tcW w:w="1249" w:type="dxa"/>
            <w:tcBorders>
              <w:top w:val="nil"/>
              <w:left w:val="nil"/>
              <w:bottom w:val="nil"/>
              <w:right w:val="nil"/>
            </w:tcBorders>
            <w:shd w:val="clear" w:color="auto" w:fill="auto"/>
            <w:noWrap/>
            <w:vAlign w:val="bottom"/>
            <w:hideMark/>
          </w:tcPr>
          <w:p w14:paraId="51629C3F" w14:textId="77777777" w:rsidR="003971A1" w:rsidRPr="00630B33" w:rsidRDefault="003971A1" w:rsidP="008E7934">
            <w:pPr>
              <w:spacing w:after="0" w:line="240" w:lineRule="auto"/>
              <w:rPr>
                <w:rFonts w:ascii="Times New Roman" w:eastAsia="Times New Roman" w:hAnsi="Times New Roman" w:cs="Times New Roman"/>
                <w:color w:val="000000"/>
                <w:sz w:val="24"/>
                <w:szCs w:val="24"/>
              </w:rPr>
            </w:pPr>
          </w:p>
        </w:tc>
        <w:tc>
          <w:tcPr>
            <w:tcW w:w="1249" w:type="dxa"/>
            <w:tcBorders>
              <w:top w:val="nil"/>
              <w:left w:val="nil"/>
              <w:bottom w:val="nil"/>
              <w:right w:val="nil"/>
            </w:tcBorders>
            <w:shd w:val="clear" w:color="auto" w:fill="auto"/>
            <w:noWrap/>
            <w:vAlign w:val="bottom"/>
            <w:hideMark/>
          </w:tcPr>
          <w:p w14:paraId="4F11105A" w14:textId="77777777" w:rsidR="003971A1" w:rsidRPr="00630B33" w:rsidRDefault="003971A1" w:rsidP="008E7934">
            <w:pPr>
              <w:spacing w:after="0" w:line="240" w:lineRule="auto"/>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noWrap/>
            <w:vAlign w:val="bottom"/>
            <w:hideMark/>
          </w:tcPr>
          <w:p w14:paraId="5CAD2303" w14:textId="77777777" w:rsidR="003971A1" w:rsidRPr="00630B33" w:rsidRDefault="003971A1" w:rsidP="008E7934">
            <w:pPr>
              <w:spacing w:after="0" w:line="240" w:lineRule="auto"/>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noWrap/>
            <w:vAlign w:val="bottom"/>
            <w:hideMark/>
          </w:tcPr>
          <w:p w14:paraId="79250D84" w14:textId="77777777" w:rsidR="003971A1" w:rsidRPr="00630B33" w:rsidRDefault="003971A1" w:rsidP="008E7934">
            <w:pPr>
              <w:spacing w:after="0" w:line="240" w:lineRule="auto"/>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noWrap/>
            <w:vAlign w:val="bottom"/>
            <w:hideMark/>
          </w:tcPr>
          <w:p w14:paraId="1D848295" w14:textId="77777777" w:rsidR="003971A1" w:rsidRPr="00630B33" w:rsidRDefault="003971A1" w:rsidP="008E7934">
            <w:pPr>
              <w:spacing w:after="0" w:line="240" w:lineRule="auto"/>
              <w:rPr>
                <w:rFonts w:ascii="Times New Roman" w:eastAsia="Times New Roman" w:hAnsi="Times New Roman" w:cs="Times New Roman"/>
                <w:sz w:val="24"/>
                <w:szCs w:val="24"/>
              </w:rPr>
            </w:pPr>
          </w:p>
        </w:tc>
        <w:tc>
          <w:tcPr>
            <w:tcW w:w="1249" w:type="dxa"/>
            <w:tcBorders>
              <w:top w:val="nil"/>
              <w:left w:val="nil"/>
              <w:bottom w:val="nil"/>
              <w:right w:val="nil"/>
            </w:tcBorders>
            <w:shd w:val="clear" w:color="auto" w:fill="auto"/>
            <w:noWrap/>
            <w:vAlign w:val="bottom"/>
            <w:hideMark/>
          </w:tcPr>
          <w:p w14:paraId="7F924AE4" w14:textId="77777777" w:rsidR="003971A1" w:rsidRPr="00630B33" w:rsidRDefault="003971A1" w:rsidP="008E7934">
            <w:pPr>
              <w:spacing w:after="0" w:line="240" w:lineRule="auto"/>
              <w:rPr>
                <w:rFonts w:ascii="Times New Roman" w:eastAsia="Times New Roman" w:hAnsi="Times New Roman" w:cs="Times New Roman"/>
                <w:sz w:val="24"/>
                <w:szCs w:val="24"/>
              </w:rPr>
            </w:pPr>
          </w:p>
        </w:tc>
        <w:tc>
          <w:tcPr>
            <w:tcW w:w="1832" w:type="dxa"/>
            <w:tcBorders>
              <w:top w:val="nil"/>
              <w:left w:val="nil"/>
              <w:bottom w:val="nil"/>
              <w:right w:val="nil"/>
            </w:tcBorders>
            <w:shd w:val="clear" w:color="auto" w:fill="auto"/>
            <w:noWrap/>
            <w:vAlign w:val="bottom"/>
            <w:hideMark/>
          </w:tcPr>
          <w:p w14:paraId="2A5018F2" w14:textId="77777777" w:rsidR="003971A1" w:rsidRPr="00630B33" w:rsidRDefault="003971A1" w:rsidP="008E7934">
            <w:pPr>
              <w:spacing w:after="0" w:line="240" w:lineRule="auto"/>
              <w:jc w:val="center"/>
              <w:rPr>
                <w:rFonts w:ascii="Times New Roman" w:eastAsia="Times New Roman" w:hAnsi="Times New Roman" w:cs="Times New Roman"/>
                <w:sz w:val="24"/>
                <w:szCs w:val="24"/>
              </w:rPr>
            </w:pPr>
          </w:p>
        </w:tc>
      </w:tr>
      <w:tr w:rsidR="003971A1" w:rsidRPr="00D7040E" w14:paraId="4B3E4482" w14:textId="77777777" w:rsidTr="008E7934">
        <w:trPr>
          <w:trHeight w:val="290"/>
          <w:jc w:val="center"/>
        </w:trPr>
        <w:tc>
          <w:tcPr>
            <w:tcW w:w="4354" w:type="dxa"/>
            <w:tcBorders>
              <w:top w:val="nil"/>
              <w:left w:val="nil"/>
              <w:bottom w:val="nil"/>
              <w:right w:val="nil"/>
            </w:tcBorders>
            <w:shd w:val="clear" w:color="auto" w:fill="auto"/>
            <w:noWrap/>
            <w:vAlign w:val="bottom"/>
            <w:hideMark/>
          </w:tcPr>
          <w:p w14:paraId="07073484" w14:textId="77777777" w:rsidR="003971A1" w:rsidRPr="00D259F5" w:rsidRDefault="003971A1" w:rsidP="008E7934">
            <w:pPr>
              <w:spacing w:after="0" w:line="240" w:lineRule="auto"/>
              <w:rPr>
                <w:rFonts w:ascii="Times New Roman" w:eastAsia="Times New Roman" w:hAnsi="Times New Roman" w:cs="Times New Roman"/>
                <w:color w:val="000000"/>
                <w:sz w:val="24"/>
                <w:szCs w:val="24"/>
              </w:rPr>
            </w:pPr>
            <w:r w:rsidRPr="00C65707">
              <w:rPr>
                <w:rFonts w:ascii="Times New Roman" w:eastAsia="Times New Roman" w:hAnsi="Times New Roman" w:cs="Times New Roman"/>
                <w:color w:val="000000"/>
                <w:sz w:val="24"/>
                <w:szCs w:val="24"/>
              </w:rPr>
              <w:t xml:space="preserve">     </w:t>
            </w:r>
            <w:r w:rsidRPr="00D20563">
              <w:rPr>
                <w:rFonts w:ascii="Times New Roman" w:eastAsia="Times New Roman" w:hAnsi="Times New Roman" w:cs="Times New Roman"/>
                <w:color w:val="000000"/>
                <w:sz w:val="24"/>
                <w:szCs w:val="24"/>
              </w:rPr>
              <w:t xml:space="preserve">   1) R</w:t>
            </w:r>
            <w:r w:rsidRPr="00040264">
              <w:rPr>
                <w:rFonts w:ascii="Times New Roman" w:eastAsia="Times New Roman" w:hAnsi="Times New Roman" w:cs="Times New Roman"/>
                <w:color w:val="000000"/>
                <w:sz w:val="24"/>
                <w:szCs w:val="24"/>
              </w:rPr>
              <w:t xml:space="preserve">aise BA share </w:t>
            </w:r>
            <w:r w:rsidRPr="00EE6CF2">
              <w:rPr>
                <w:rFonts w:ascii="Times New Roman" w:eastAsia="Times New Roman" w:hAnsi="Times New Roman" w:cs="Times New Roman"/>
                <w:color w:val="000000"/>
                <w:sz w:val="24"/>
                <w:szCs w:val="24"/>
              </w:rPr>
              <w:t>to 50%</w:t>
            </w:r>
          </w:p>
        </w:tc>
        <w:tc>
          <w:tcPr>
            <w:tcW w:w="1249" w:type="dxa"/>
            <w:tcBorders>
              <w:top w:val="nil"/>
              <w:left w:val="nil"/>
              <w:bottom w:val="nil"/>
              <w:right w:val="nil"/>
            </w:tcBorders>
            <w:shd w:val="clear" w:color="auto" w:fill="auto"/>
            <w:noWrap/>
            <w:vAlign w:val="bottom"/>
            <w:hideMark/>
          </w:tcPr>
          <w:p w14:paraId="3A7660C7" w14:textId="77777777" w:rsidR="003971A1" w:rsidRPr="00630B33" w:rsidRDefault="003971A1" w:rsidP="008E7934">
            <w:pPr>
              <w:spacing w:after="0" w:line="240" w:lineRule="auto"/>
              <w:jc w:val="right"/>
              <w:rPr>
                <w:rFonts w:ascii="Times New Roman" w:eastAsia="Times New Roman" w:hAnsi="Times New Roman" w:cs="Times New Roman"/>
                <w:color w:val="000000"/>
                <w:sz w:val="24"/>
                <w:szCs w:val="24"/>
              </w:rPr>
            </w:pPr>
            <w:r w:rsidRPr="00630B33">
              <w:rPr>
                <w:rFonts w:ascii="Times New Roman" w:hAnsi="Times New Roman" w:cs="Times New Roman"/>
                <w:color w:val="000000"/>
                <w:sz w:val="24"/>
                <w:szCs w:val="24"/>
              </w:rPr>
              <w:t>2.25</w:t>
            </w:r>
          </w:p>
        </w:tc>
        <w:tc>
          <w:tcPr>
            <w:tcW w:w="1249" w:type="dxa"/>
            <w:tcBorders>
              <w:top w:val="nil"/>
              <w:left w:val="nil"/>
              <w:bottom w:val="nil"/>
              <w:right w:val="nil"/>
            </w:tcBorders>
            <w:shd w:val="clear" w:color="auto" w:fill="auto"/>
            <w:noWrap/>
            <w:vAlign w:val="bottom"/>
            <w:hideMark/>
          </w:tcPr>
          <w:p w14:paraId="6A6B8E4D" w14:textId="77777777" w:rsidR="003971A1" w:rsidRPr="00630B33" w:rsidRDefault="003971A1" w:rsidP="008E7934">
            <w:pPr>
              <w:spacing w:after="0" w:line="240" w:lineRule="auto"/>
              <w:jc w:val="right"/>
              <w:rPr>
                <w:rFonts w:ascii="Times New Roman" w:eastAsia="Times New Roman" w:hAnsi="Times New Roman" w:cs="Times New Roman"/>
                <w:color w:val="000000"/>
                <w:sz w:val="24"/>
                <w:szCs w:val="24"/>
              </w:rPr>
            </w:pPr>
            <w:r w:rsidRPr="00630B33">
              <w:rPr>
                <w:rFonts w:ascii="Times New Roman" w:hAnsi="Times New Roman" w:cs="Times New Roman"/>
                <w:color w:val="000000"/>
                <w:sz w:val="24"/>
                <w:szCs w:val="24"/>
              </w:rPr>
              <w:t>4.80</w:t>
            </w:r>
          </w:p>
        </w:tc>
        <w:tc>
          <w:tcPr>
            <w:tcW w:w="1249" w:type="dxa"/>
            <w:tcBorders>
              <w:top w:val="nil"/>
              <w:left w:val="nil"/>
              <w:bottom w:val="nil"/>
              <w:right w:val="nil"/>
            </w:tcBorders>
            <w:shd w:val="clear" w:color="auto" w:fill="auto"/>
            <w:noWrap/>
            <w:vAlign w:val="bottom"/>
            <w:hideMark/>
          </w:tcPr>
          <w:p w14:paraId="3B3F2246" w14:textId="77777777" w:rsidR="003971A1" w:rsidRPr="00630B33" w:rsidRDefault="003971A1" w:rsidP="008E7934">
            <w:pPr>
              <w:spacing w:after="0" w:line="240" w:lineRule="auto"/>
              <w:jc w:val="right"/>
              <w:rPr>
                <w:rFonts w:ascii="Times New Roman" w:eastAsia="Times New Roman" w:hAnsi="Times New Roman" w:cs="Times New Roman"/>
                <w:color w:val="000000"/>
                <w:sz w:val="24"/>
                <w:szCs w:val="24"/>
              </w:rPr>
            </w:pPr>
            <w:r w:rsidRPr="00630B33">
              <w:rPr>
                <w:rFonts w:ascii="Times New Roman" w:hAnsi="Times New Roman" w:cs="Times New Roman"/>
                <w:color w:val="000000"/>
                <w:sz w:val="24"/>
                <w:szCs w:val="24"/>
              </w:rPr>
              <w:t>1.50</w:t>
            </w:r>
          </w:p>
        </w:tc>
        <w:tc>
          <w:tcPr>
            <w:tcW w:w="1249" w:type="dxa"/>
            <w:tcBorders>
              <w:top w:val="nil"/>
              <w:left w:val="nil"/>
              <w:bottom w:val="nil"/>
              <w:right w:val="nil"/>
            </w:tcBorders>
            <w:shd w:val="clear" w:color="auto" w:fill="auto"/>
            <w:noWrap/>
            <w:vAlign w:val="bottom"/>
            <w:hideMark/>
          </w:tcPr>
          <w:p w14:paraId="0012AC67" w14:textId="77777777" w:rsidR="003971A1" w:rsidRPr="00630B33" w:rsidRDefault="003971A1" w:rsidP="008E7934">
            <w:pPr>
              <w:spacing w:after="0" w:line="240" w:lineRule="auto"/>
              <w:jc w:val="right"/>
              <w:rPr>
                <w:rFonts w:ascii="Times New Roman" w:eastAsia="Times New Roman" w:hAnsi="Times New Roman" w:cs="Times New Roman"/>
                <w:color w:val="000000"/>
                <w:sz w:val="24"/>
                <w:szCs w:val="24"/>
              </w:rPr>
            </w:pPr>
            <w:r w:rsidRPr="00630B33">
              <w:rPr>
                <w:rFonts w:ascii="Times New Roman" w:hAnsi="Times New Roman" w:cs="Times New Roman"/>
                <w:color w:val="000000"/>
                <w:sz w:val="24"/>
                <w:szCs w:val="24"/>
              </w:rPr>
              <w:t>3.20</w:t>
            </w:r>
          </w:p>
        </w:tc>
        <w:tc>
          <w:tcPr>
            <w:tcW w:w="1249" w:type="dxa"/>
            <w:tcBorders>
              <w:top w:val="nil"/>
              <w:left w:val="nil"/>
              <w:bottom w:val="nil"/>
              <w:right w:val="nil"/>
            </w:tcBorders>
            <w:shd w:val="clear" w:color="auto" w:fill="auto"/>
            <w:noWrap/>
            <w:vAlign w:val="bottom"/>
            <w:hideMark/>
          </w:tcPr>
          <w:p w14:paraId="676C9E24" w14:textId="77777777" w:rsidR="003971A1" w:rsidRPr="00630B33" w:rsidRDefault="003971A1" w:rsidP="008E7934">
            <w:pPr>
              <w:spacing w:after="0" w:line="240" w:lineRule="auto"/>
              <w:jc w:val="right"/>
              <w:rPr>
                <w:rFonts w:ascii="Times New Roman" w:eastAsia="Times New Roman" w:hAnsi="Times New Roman" w:cs="Times New Roman"/>
                <w:color w:val="000000"/>
                <w:sz w:val="24"/>
                <w:szCs w:val="24"/>
              </w:rPr>
            </w:pPr>
            <w:r w:rsidRPr="00630B33">
              <w:rPr>
                <w:rFonts w:ascii="Times New Roman" w:hAnsi="Times New Roman" w:cs="Times New Roman"/>
                <w:color w:val="000000"/>
                <w:sz w:val="24"/>
                <w:szCs w:val="24"/>
              </w:rPr>
              <w:t>2.13</w:t>
            </w:r>
          </w:p>
        </w:tc>
        <w:tc>
          <w:tcPr>
            <w:tcW w:w="1249" w:type="dxa"/>
            <w:tcBorders>
              <w:top w:val="nil"/>
              <w:left w:val="nil"/>
              <w:bottom w:val="nil"/>
              <w:right w:val="nil"/>
            </w:tcBorders>
            <w:shd w:val="clear" w:color="auto" w:fill="auto"/>
            <w:noWrap/>
            <w:vAlign w:val="bottom"/>
            <w:hideMark/>
          </w:tcPr>
          <w:p w14:paraId="4CFBCA28" w14:textId="77777777" w:rsidR="003971A1" w:rsidRPr="00630B33" w:rsidRDefault="003971A1" w:rsidP="008E7934">
            <w:pPr>
              <w:spacing w:after="0" w:line="240" w:lineRule="auto"/>
              <w:jc w:val="right"/>
              <w:rPr>
                <w:rFonts w:ascii="Times New Roman" w:eastAsia="Times New Roman" w:hAnsi="Times New Roman" w:cs="Times New Roman"/>
                <w:color w:val="000000"/>
                <w:sz w:val="24"/>
                <w:szCs w:val="24"/>
              </w:rPr>
            </w:pPr>
            <w:r w:rsidRPr="00630B33">
              <w:rPr>
                <w:rFonts w:ascii="Times New Roman" w:hAnsi="Times New Roman" w:cs="Times New Roman"/>
                <w:color w:val="000000"/>
                <w:sz w:val="24"/>
                <w:szCs w:val="24"/>
              </w:rPr>
              <w:t>2.62</w:t>
            </w:r>
          </w:p>
        </w:tc>
        <w:tc>
          <w:tcPr>
            <w:tcW w:w="1832" w:type="dxa"/>
            <w:tcBorders>
              <w:top w:val="nil"/>
              <w:left w:val="nil"/>
              <w:bottom w:val="nil"/>
              <w:right w:val="nil"/>
            </w:tcBorders>
            <w:shd w:val="clear" w:color="auto" w:fill="auto"/>
            <w:noWrap/>
            <w:vAlign w:val="bottom"/>
            <w:hideMark/>
          </w:tcPr>
          <w:p w14:paraId="72874A67" w14:textId="77777777" w:rsidR="003971A1" w:rsidRPr="00630B33" w:rsidRDefault="003971A1" w:rsidP="008E7934">
            <w:pPr>
              <w:spacing w:after="0" w:line="240" w:lineRule="auto"/>
              <w:jc w:val="center"/>
              <w:rPr>
                <w:rFonts w:ascii="Times New Roman" w:eastAsia="Times New Roman" w:hAnsi="Times New Roman" w:cs="Times New Roman"/>
                <w:color w:val="000000"/>
                <w:sz w:val="24"/>
                <w:szCs w:val="24"/>
              </w:rPr>
            </w:pPr>
            <w:r w:rsidRPr="00630B33">
              <w:rPr>
                <w:rFonts w:ascii="Times New Roman" w:hAnsi="Times New Roman" w:cs="Times New Roman"/>
                <w:color w:val="000000"/>
                <w:sz w:val="24"/>
                <w:szCs w:val="24"/>
              </w:rPr>
              <w:t>0.375</w:t>
            </w:r>
          </w:p>
        </w:tc>
      </w:tr>
      <w:tr w:rsidR="003971A1" w:rsidRPr="00D7040E" w14:paraId="08D6D01F" w14:textId="77777777" w:rsidTr="008E7934">
        <w:trPr>
          <w:trHeight w:val="290"/>
          <w:jc w:val="center"/>
        </w:trPr>
        <w:tc>
          <w:tcPr>
            <w:tcW w:w="4354" w:type="dxa"/>
            <w:tcBorders>
              <w:top w:val="nil"/>
              <w:left w:val="nil"/>
              <w:bottom w:val="nil"/>
              <w:right w:val="nil"/>
            </w:tcBorders>
            <w:shd w:val="clear" w:color="auto" w:fill="auto"/>
            <w:noWrap/>
            <w:vAlign w:val="bottom"/>
            <w:hideMark/>
          </w:tcPr>
          <w:p w14:paraId="2ED70911" w14:textId="77777777" w:rsidR="003971A1" w:rsidRPr="00EE6CF2" w:rsidRDefault="003971A1" w:rsidP="008E7934">
            <w:pPr>
              <w:spacing w:after="0" w:line="240" w:lineRule="auto"/>
              <w:rPr>
                <w:rFonts w:ascii="Times New Roman" w:eastAsia="Times New Roman" w:hAnsi="Times New Roman" w:cs="Times New Roman"/>
                <w:color w:val="000000"/>
                <w:sz w:val="24"/>
                <w:szCs w:val="24"/>
              </w:rPr>
            </w:pPr>
            <w:r w:rsidRPr="00C65707">
              <w:rPr>
                <w:rFonts w:ascii="Times New Roman" w:eastAsia="Times New Roman" w:hAnsi="Times New Roman" w:cs="Times New Roman"/>
                <w:color w:val="000000"/>
                <w:sz w:val="24"/>
                <w:szCs w:val="24"/>
              </w:rPr>
              <w:t xml:space="preserve">        2) + Raise A</w:t>
            </w:r>
            <w:r w:rsidRPr="00D20563">
              <w:rPr>
                <w:rFonts w:ascii="Times New Roman" w:eastAsia="Times New Roman" w:hAnsi="Times New Roman" w:cs="Times New Roman"/>
                <w:color w:val="000000"/>
                <w:sz w:val="24"/>
                <w:szCs w:val="24"/>
              </w:rPr>
              <w:t>A</w:t>
            </w:r>
            <w:r w:rsidRPr="00040264">
              <w:rPr>
                <w:rFonts w:ascii="Times New Roman" w:eastAsia="Times New Roman" w:hAnsi="Times New Roman" w:cs="Times New Roman"/>
                <w:color w:val="000000"/>
                <w:sz w:val="24"/>
                <w:szCs w:val="24"/>
              </w:rPr>
              <w:t xml:space="preserve"> share to 15%</w:t>
            </w:r>
          </w:p>
        </w:tc>
        <w:tc>
          <w:tcPr>
            <w:tcW w:w="1249" w:type="dxa"/>
            <w:tcBorders>
              <w:top w:val="nil"/>
              <w:left w:val="nil"/>
              <w:bottom w:val="nil"/>
              <w:right w:val="nil"/>
            </w:tcBorders>
            <w:shd w:val="clear" w:color="auto" w:fill="auto"/>
            <w:noWrap/>
            <w:vAlign w:val="bottom"/>
            <w:hideMark/>
          </w:tcPr>
          <w:p w14:paraId="0A83A2DA" w14:textId="77777777" w:rsidR="003971A1" w:rsidRPr="00630B33" w:rsidRDefault="003971A1" w:rsidP="008E7934">
            <w:pPr>
              <w:spacing w:after="0" w:line="240" w:lineRule="auto"/>
              <w:jc w:val="right"/>
              <w:rPr>
                <w:rFonts w:ascii="Times New Roman" w:eastAsia="Times New Roman" w:hAnsi="Times New Roman" w:cs="Times New Roman"/>
                <w:color w:val="000000"/>
                <w:sz w:val="24"/>
                <w:szCs w:val="24"/>
              </w:rPr>
            </w:pPr>
            <w:r w:rsidRPr="00630B33">
              <w:rPr>
                <w:rFonts w:ascii="Times New Roman" w:hAnsi="Times New Roman" w:cs="Times New Roman"/>
                <w:color w:val="000000"/>
                <w:sz w:val="24"/>
                <w:szCs w:val="24"/>
              </w:rPr>
              <w:t>2.23</w:t>
            </w:r>
          </w:p>
        </w:tc>
        <w:tc>
          <w:tcPr>
            <w:tcW w:w="1249" w:type="dxa"/>
            <w:tcBorders>
              <w:top w:val="nil"/>
              <w:left w:val="nil"/>
              <w:bottom w:val="nil"/>
              <w:right w:val="nil"/>
            </w:tcBorders>
            <w:shd w:val="clear" w:color="auto" w:fill="auto"/>
            <w:noWrap/>
            <w:vAlign w:val="bottom"/>
            <w:hideMark/>
          </w:tcPr>
          <w:p w14:paraId="770B3838" w14:textId="77777777" w:rsidR="003971A1" w:rsidRPr="00630B33" w:rsidRDefault="003971A1" w:rsidP="008E7934">
            <w:pPr>
              <w:spacing w:after="0" w:line="240" w:lineRule="auto"/>
              <w:jc w:val="right"/>
              <w:rPr>
                <w:rFonts w:ascii="Times New Roman" w:eastAsia="Times New Roman" w:hAnsi="Times New Roman" w:cs="Times New Roman"/>
                <w:color w:val="000000"/>
                <w:sz w:val="24"/>
                <w:szCs w:val="24"/>
              </w:rPr>
            </w:pPr>
            <w:r w:rsidRPr="00630B33">
              <w:rPr>
                <w:rFonts w:ascii="Times New Roman" w:hAnsi="Times New Roman" w:cs="Times New Roman"/>
                <w:color w:val="000000"/>
                <w:sz w:val="24"/>
                <w:szCs w:val="24"/>
              </w:rPr>
              <w:t>4.68</w:t>
            </w:r>
          </w:p>
        </w:tc>
        <w:tc>
          <w:tcPr>
            <w:tcW w:w="1249" w:type="dxa"/>
            <w:tcBorders>
              <w:top w:val="nil"/>
              <w:left w:val="nil"/>
              <w:bottom w:val="nil"/>
              <w:right w:val="nil"/>
            </w:tcBorders>
            <w:shd w:val="clear" w:color="auto" w:fill="auto"/>
            <w:noWrap/>
            <w:vAlign w:val="bottom"/>
            <w:hideMark/>
          </w:tcPr>
          <w:p w14:paraId="0478B0F0" w14:textId="77777777" w:rsidR="003971A1" w:rsidRPr="00630B33" w:rsidRDefault="003971A1" w:rsidP="008E7934">
            <w:pPr>
              <w:spacing w:after="0" w:line="240" w:lineRule="auto"/>
              <w:jc w:val="right"/>
              <w:rPr>
                <w:rFonts w:ascii="Times New Roman" w:eastAsia="Times New Roman" w:hAnsi="Times New Roman" w:cs="Times New Roman"/>
                <w:color w:val="000000"/>
                <w:sz w:val="24"/>
                <w:szCs w:val="24"/>
              </w:rPr>
            </w:pPr>
            <w:r w:rsidRPr="00630B33">
              <w:rPr>
                <w:rFonts w:ascii="Times New Roman" w:hAnsi="Times New Roman" w:cs="Times New Roman"/>
                <w:color w:val="000000"/>
                <w:sz w:val="24"/>
                <w:szCs w:val="24"/>
              </w:rPr>
              <w:t>1.49</w:t>
            </w:r>
          </w:p>
        </w:tc>
        <w:tc>
          <w:tcPr>
            <w:tcW w:w="1249" w:type="dxa"/>
            <w:tcBorders>
              <w:top w:val="nil"/>
              <w:left w:val="nil"/>
              <w:bottom w:val="nil"/>
              <w:right w:val="nil"/>
            </w:tcBorders>
            <w:shd w:val="clear" w:color="auto" w:fill="auto"/>
            <w:noWrap/>
            <w:vAlign w:val="bottom"/>
            <w:hideMark/>
          </w:tcPr>
          <w:p w14:paraId="25288C94" w14:textId="77777777" w:rsidR="003971A1" w:rsidRPr="00630B33" w:rsidRDefault="003971A1" w:rsidP="008E7934">
            <w:pPr>
              <w:spacing w:after="0" w:line="240" w:lineRule="auto"/>
              <w:jc w:val="right"/>
              <w:rPr>
                <w:rFonts w:ascii="Times New Roman" w:eastAsia="Times New Roman" w:hAnsi="Times New Roman" w:cs="Times New Roman"/>
                <w:color w:val="000000"/>
                <w:sz w:val="24"/>
                <w:szCs w:val="24"/>
              </w:rPr>
            </w:pPr>
            <w:r w:rsidRPr="00630B33">
              <w:rPr>
                <w:rFonts w:ascii="Times New Roman" w:hAnsi="Times New Roman" w:cs="Times New Roman"/>
                <w:color w:val="000000"/>
                <w:sz w:val="24"/>
                <w:szCs w:val="24"/>
              </w:rPr>
              <w:t>3.12</w:t>
            </w:r>
          </w:p>
        </w:tc>
        <w:tc>
          <w:tcPr>
            <w:tcW w:w="1249" w:type="dxa"/>
            <w:tcBorders>
              <w:top w:val="nil"/>
              <w:left w:val="nil"/>
              <w:bottom w:val="nil"/>
              <w:right w:val="nil"/>
            </w:tcBorders>
            <w:shd w:val="clear" w:color="auto" w:fill="auto"/>
            <w:noWrap/>
            <w:vAlign w:val="bottom"/>
            <w:hideMark/>
          </w:tcPr>
          <w:p w14:paraId="1FA5D5BF" w14:textId="77777777" w:rsidR="003971A1" w:rsidRPr="00630B33" w:rsidRDefault="003971A1" w:rsidP="008E7934">
            <w:pPr>
              <w:spacing w:after="0" w:line="240" w:lineRule="auto"/>
              <w:jc w:val="right"/>
              <w:rPr>
                <w:rFonts w:ascii="Times New Roman" w:eastAsia="Times New Roman" w:hAnsi="Times New Roman" w:cs="Times New Roman"/>
                <w:color w:val="000000"/>
                <w:sz w:val="24"/>
                <w:szCs w:val="24"/>
              </w:rPr>
            </w:pPr>
            <w:r w:rsidRPr="00630B33">
              <w:rPr>
                <w:rFonts w:ascii="Times New Roman" w:hAnsi="Times New Roman" w:cs="Times New Roman"/>
                <w:color w:val="000000"/>
                <w:sz w:val="24"/>
                <w:szCs w:val="24"/>
              </w:rPr>
              <w:t>2.10</w:t>
            </w:r>
          </w:p>
        </w:tc>
        <w:tc>
          <w:tcPr>
            <w:tcW w:w="1249" w:type="dxa"/>
            <w:tcBorders>
              <w:top w:val="nil"/>
              <w:left w:val="nil"/>
              <w:bottom w:val="nil"/>
              <w:right w:val="nil"/>
            </w:tcBorders>
            <w:shd w:val="clear" w:color="auto" w:fill="auto"/>
            <w:noWrap/>
            <w:vAlign w:val="bottom"/>
            <w:hideMark/>
          </w:tcPr>
          <w:p w14:paraId="3805BAE8" w14:textId="77777777" w:rsidR="003971A1" w:rsidRPr="00630B33" w:rsidRDefault="003971A1" w:rsidP="008E7934">
            <w:pPr>
              <w:spacing w:after="0" w:line="240" w:lineRule="auto"/>
              <w:jc w:val="right"/>
              <w:rPr>
                <w:rFonts w:ascii="Times New Roman" w:eastAsia="Times New Roman" w:hAnsi="Times New Roman" w:cs="Times New Roman"/>
                <w:color w:val="000000"/>
                <w:sz w:val="24"/>
                <w:szCs w:val="24"/>
              </w:rPr>
            </w:pPr>
            <w:r w:rsidRPr="00630B33">
              <w:rPr>
                <w:rFonts w:ascii="Times New Roman" w:hAnsi="Times New Roman" w:cs="Times New Roman"/>
                <w:color w:val="000000"/>
                <w:sz w:val="24"/>
                <w:szCs w:val="24"/>
              </w:rPr>
              <w:t>2.63</w:t>
            </w:r>
          </w:p>
        </w:tc>
        <w:tc>
          <w:tcPr>
            <w:tcW w:w="1832" w:type="dxa"/>
            <w:tcBorders>
              <w:top w:val="nil"/>
              <w:left w:val="nil"/>
              <w:bottom w:val="nil"/>
              <w:right w:val="nil"/>
            </w:tcBorders>
            <w:shd w:val="clear" w:color="auto" w:fill="auto"/>
            <w:noWrap/>
            <w:vAlign w:val="bottom"/>
            <w:hideMark/>
          </w:tcPr>
          <w:p w14:paraId="4EE02ACD" w14:textId="77777777" w:rsidR="003971A1" w:rsidRPr="00630B33" w:rsidRDefault="003971A1" w:rsidP="008E7934">
            <w:pPr>
              <w:spacing w:after="0" w:line="240" w:lineRule="auto"/>
              <w:jc w:val="center"/>
              <w:rPr>
                <w:rFonts w:ascii="Times New Roman" w:eastAsia="Times New Roman" w:hAnsi="Times New Roman" w:cs="Times New Roman"/>
                <w:color w:val="000000"/>
                <w:sz w:val="24"/>
                <w:szCs w:val="24"/>
              </w:rPr>
            </w:pPr>
            <w:r w:rsidRPr="00630B33">
              <w:rPr>
                <w:rFonts w:ascii="Times New Roman" w:hAnsi="Times New Roman" w:cs="Times New Roman"/>
                <w:color w:val="000000"/>
                <w:sz w:val="24"/>
                <w:szCs w:val="24"/>
              </w:rPr>
              <w:t>0.371</w:t>
            </w:r>
          </w:p>
        </w:tc>
      </w:tr>
      <w:tr w:rsidR="003971A1" w:rsidRPr="00D7040E" w14:paraId="606EC530" w14:textId="77777777" w:rsidTr="008E7934">
        <w:trPr>
          <w:trHeight w:val="290"/>
          <w:jc w:val="center"/>
        </w:trPr>
        <w:tc>
          <w:tcPr>
            <w:tcW w:w="4354" w:type="dxa"/>
            <w:tcBorders>
              <w:top w:val="nil"/>
              <w:left w:val="nil"/>
              <w:bottom w:val="nil"/>
              <w:right w:val="nil"/>
            </w:tcBorders>
            <w:shd w:val="clear" w:color="auto" w:fill="auto"/>
            <w:noWrap/>
            <w:vAlign w:val="bottom"/>
            <w:hideMark/>
          </w:tcPr>
          <w:p w14:paraId="33FAD9FA" w14:textId="77777777" w:rsidR="003971A1" w:rsidRPr="00256C23" w:rsidRDefault="003971A1" w:rsidP="008E7934">
            <w:pPr>
              <w:spacing w:after="0" w:line="240" w:lineRule="auto"/>
              <w:rPr>
                <w:rFonts w:ascii="Times New Roman" w:eastAsia="Times New Roman" w:hAnsi="Times New Roman" w:cs="Times New Roman"/>
                <w:color w:val="000000"/>
                <w:sz w:val="24"/>
                <w:szCs w:val="24"/>
              </w:rPr>
            </w:pPr>
            <w:r w:rsidRPr="00C65707">
              <w:rPr>
                <w:rFonts w:ascii="Times New Roman" w:eastAsia="Times New Roman" w:hAnsi="Times New Roman" w:cs="Times New Roman"/>
                <w:color w:val="000000"/>
                <w:sz w:val="24"/>
                <w:szCs w:val="24"/>
              </w:rPr>
              <w:t xml:space="preserve">        3) 6</w:t>
            </w:r>
            <w:r w:rsidRPr="00D20563">
              <w:rPr>
                <w:rFonts w:ascii="Times New Roman" w:eastAsia="Times New Roman" w:hAnsi="Times New Roman" w:cs="Times New Roman"/>
                <w:color w:val="000000"/>
                <w:sz w:val="24"/>
                <w:szCs w:val="24"/>
              </w:rPr>
              <w:t xml:space="preserve">0% </w:t>
            </w:r>
            <w:r w:rsidRPr="00040264">
              <w:rPr>
                <w:rFonts w:ascii="Times New Roman" w:eastAsia="Times New Roman" w:hAnsi="Times New Roman" w:cs="Times New Roman"/>
                <w:color w:val="000000"/>
                <w:sz w:val="24"/>
                <w:szCs w:val="24"/>
              </w:rPr>
              <w:t>BA</w:t>
            </w:r>
            <w:r w:rsidRPr="00EE6CF2">
              <w:rPr>
                <w:rFonts w:ascii="Times New Roman" w:eastAsia="Times New Roman" w:hAnsi="Times New Roman" w:cs="Times New Roman"/>
                <w:color w:val="000000"/>
                <w:sz w:val="24"/>
                <w:szCs w:val="24"/>
              </w:rPr>
              <w:t xml:space="preserve"> share</w:t>
            </w:r>
            <w:r w:rsidRPr="00D259F5">
              <w:rPr>
                <w:rFonts w:ascii="Times New Roman" w:eastAsia="Times New Roman" w:hAnsi="Times New Roman" w:cs="Times New Roman"/>
                <w:color w:val="000000"/>
                <w:sz w:val="24"/>
                <w:szCs w:val="24"/>
              </w:rPr>
              <w:t xml:space="preserve">, </w:t>
            </w:r>
            <w:r w:rsidRPr="00D63F9B">
              <w:rPr>
                <w:rFonts w:ascii="Times New Roman" w:eastAsia="Times New Roman" w:hAnsi="Times New Roman" w:cs="Times New Roman"/>
                <w:color w:val="000000"/>
                <w:sz w:val="24"/>
                <w:szCs w:val="24"/>
              </w:rPr>
              <w:t xml:space="preserve">20% </w:t>
            </w:r>
            <w:r w:rsidRPr="00256C23">
              <w:rPr>
                <w:rFonts w:ascii="Times New Roman" w:eastAsia="Times New Roman" w:hAnsi="Times New Roman" w:cs="Times New Roman"/>
                <w:color w:val="000000"/>
                <w:sz w:val="24"/>
                <w:szCs w:val="24"/>
              </w:rPr>
              <w:t>AA share</w:t>
            </w:r>
          </w:p>
        </w:tc>
        <w:tc>
          <w:tcPr>
            <w:tcW w:w="1249" w:type="dxa"/>
            <w:tcBorders>
              <w:top w:val="nil"/>
              <w:left w:val="nil"/>
              <w:bottom w:val="nil"/>
              <w:right w:val="nil"/>
            </w:tcBorders>
            <w:shd w:val="clear" w:color="auto" w:fill="auto"/>
            <w:noWrap/>
            <w:vAlign w:val="bottom"/>
            <w:hideMark/>
          </w:tcPr>
          <w:p w14:paraId="398925CF" w14:textId="77777777" w:rsidR="003971A1" w:rsidRPr="00630B33" w:rsidRDefault="003971A1" w:rsidP="008E7934">
            <w:pPr>
              <w:spacing w:after="0" w:line="240" w:lineRule="auto"/>
              <w:jc w:val="right"/>
              <w:rPr>
                <w:rFonts w:ascii="Times New Roman" w:eastAsia="Times New Roman" w:hAnsi="Times New Roman" w:cs="Times New Roman"/>
                <w:color w:val="000000"/>
                <w:sz w:val="24"/>
                <w:szCs w:val="24"/>
              </w:rPr>
            </w:pPr>
            <w:r w:rsidRPr="00630B33">
              <w:rPr>
                <w:rFonts w:ascii="Times New Roman" w:hAnsi="Times New Roman" w:cs="Times New Roman"/>
                <w:color w:val="000000"/>
                <w:sz w:val="24"/>
                <w:szCs w:val="24"/>
              </w:rPr>
              <w:t>2.02</w:t>
            </w:r>
          </w:p>
        </w:tc>
        <w:tc>
          <w:tcPr>
            <w:tcW w:w="1249" w:type="dxa"/>
            <w:tcBorders>
              <w:top w:val="nil"/>
              <w:left w:val="nil"/>
              <w:bottom w:val="nil"/>
              <w:right w:val="nil"/>
            </w:tcBorders>
            <w:shd w:val="clear" w:color="auto" w:fill="auto"/>
            <w:noWrap/>
            <w:vAlign w:val="bottom"/>
            <w:hideMark/>
          </w:tcPr>
          <w:p w14:paraId="5D7C55CE" w14:textId="77777777" w:rsidR="003971A1" w:rsidRPr="00630B33" w:rsidRDefault="003971A1" w:rsidP="008E7934">
            <w:pPr>
              <w:spacing w:after="0" w:line="240" w:lineRule="auto"/>
              <w:jc w:val="right"/>
              <w:rPr>
                <w:rFonts w:ascii="Times New Roman" w:eastAsia="Times New Roman" w:hAnsi="Times New Roman" w:cs="Times New Roman"/>
                <w:color w:val="000000"/>
                <w:sz w:val="24"/>
                <w:szCs w:val="24"/>
              </w:rPr>
            </w:pPr>
            <w:r w:rsidRPr="00630B33">
              <w:rPr>
                <w:rFonts w:ascii="Times New Roman" w:hAnsi="Times New Roman" w:cs="Times New Roman"/>
                <w:color w:val="000000"/>
                <w:sz w:val="24"/>
                <w:szCs w:val="24"/>
              </w:rPr>
              <w:t>4.28</w:t>
            </w:r>
          </w:p>
        </w:tc>
        <w:tc>
          <w:tcPr>
            <w:tcW w:w="1249" w:type="dxa"/>
            <w:tcBorders>
              <w:top w:val="nil"/>
              <w:left w:val="nil"/>
              <w:bottom w:val="nil"/>
              <w:right w:val="nil"/>
            </w:tcBorders>
            <w:shd w:val="clear" w:color="auto" w:fill="auto"/>
            <w:noWrap/>
            <w:vAlign w:val="bottom"/>
            <w:hideMark/>
          </w:tcPr>
          <w:p w14:paraId="05F4B75A" w14:textId="77777777" w:rsidR="003971A1" w:rsidRPr="00630B33" w:rsidRDefault="003971A1" w:rsidP="008E7934">
            <w:pPr>
              <w:spacing w:after="0" w:line="240" w:lineRule="auto"/>
              <w:jc w:val="right"/>
              <w:rPr>
                <w:rFonts w:ascii="Times New Roman" w:eastAsia="Times New Roman" w:hAnsi="Times New Roman" w:cs="Times New Roman"/>
                <w:color w:val="000000"/>
                <w:sz w:val="24"/>
                <w:szCs w:val="24"/>
              </w:rPr>
            </w:pPr>
            <w:r w:rsidRPr="00630B33">
              <w:rPr>
                <w:rFonts w:ascii="Times New Roman" w:hAnsi="Times New Roman" w:cs="Times New Roman"/>
                <w:color w:val="000000"/>
                <w:sz w:val="24"/>
                <w:szCs w:val="24"/>
              </w:rPr>
              <w:t>1.43</w:t>
            </w:r>
          </w:p>
        </w:tc>
        <w:tc>
          <w:tcPr>
            <w:tcW w:w="1249" w:type="dxa"/>
            <w:tcBorders>
              <w:top w:val="nil"/>
              <w:left w:val="nil"/>
              <w:bottom w:val="nil"/>
              <w:right w:val="nil"/>
            </w:tcBorders>
            <w:shd w:val="clear" w:color="auto" w:fill="auto"/>
            <w:noWrap/>
            <w:vAlign w:val="bottom"/>
            <w:hideMark/>
          </w:tcPr>
          <w:p w14:paraId="182AA04F" w14:textId="77777777" w:rsidR="003971A1" w:rsidRPr="00630B33" w:rsidRDefault="003971A1" w:rsidP="008E7934">
            <w:pPr>
              <w:spacing w:after="0" w:line="240" w:lineRule="auto"/>
              <w:jc w:val="right"/>
              <w:rPr>
                <w:rFonts w:ascii="Times New Roman" w:eastAsia="Times New Roman" w:hAnsi="Times New Roman" w:cs="Times New Roman"/>
                <w:color w:val="000000"/>
                <w:sz w:val="24"/>
                <w:szCs w:val="24"/>
              </w:rPr>
            </w:pPr>
            <w:r w:rsidRPr="00630B33">
              <w:rPr>
                <w:rFonts w:ascii="Times New Roman" w:hAnsi="Times New Roman" w:cs="Times New Roman"/>
                <w:color w:val="000000"/>
                <w:sz w:val="24"/>
                <w:szCs w:val="24"/>
              </w:rPr>
              <w:t>3.03</w:t>
            </w:r>
          </w:p>
        </w:tc>
        <w:tc>
          <w:tcPr>
            <w:tcW w:w="1249" w:type="dxa"/>
            <w:tcBorders>
              <w:top w:val="nil"/>
              <w:left w:val="nil"/>
              <w:bottom w:val="nil"/>
              <w:right w:val="nil"/>
            </w:tcBorders>
            <w:shd w:val="clear" w:color="auto" w:fill="auto"/>
            <w:noWrap/>
            <w:vAlign w:val="bottom"/>
            <w:hideMark/>
          </w:tcPr>
          <w:p w14:paraId="3654BB69" w14:textId="77777777" w:rsidR="003971A1" w:rsidRPr="00630B33" w:rsidRDefault="003971A1" w:rsidP="008E7934">
            <w:pPr>
              <w:spacing w:after="0" w:line="240" w:lineRule="auto"/>
              <w:jc w:val="right"/>
              <w:rPr>
                <w:rFonts w:ascii="Times New Roman" w:eastAsia="Times New Roman" w:hAnsi="Times New Roman" w:cs="Times New Roman"/>
                <w:color w:val="000000"/>
                <w:sz w:val="24"/>
                <w:szCs w:val="24"/>
              </w:rPr>
            </w:pPr>
            <w:r w:rsidRPr="00630B33">
              <w:rPr>
                <w:rFonts w:ascii="Times New Roman" w:hAnsi="Times New Roman" w:cs="Times New Roman"/>
                <w:color w:val="000000"/>
                <w:sz w:val="24"/>
                <w:szCs w:val="24"/>
              </w:rPr>
              <w:t>2.12</w:t>
            </w:r>
          </w:p>
        </w:tc>
        <w:tc>
          <w:tcPr>
            <w:tcW w:w="1249" w:type="dxa"/>
            <w:tcBorders>
              <w:top w:val="nil"/>
              <w:left w:val="nil"/>
              <w:bottom w:val="nil"/>
              <w:right w:val="nil"/>
            </w:tcBorders>
            <w:shd w:val="clear" w:color="auto" w:fill="auto"/>
            <w:noWrap/>
            <w:vAlign w:val="bottom"/>
            <w:hideMark/>
          </w:tcPr>
          <w:p w14:paraId="6BA67446" w14:textId="77777777" w:rsidR="003971A1" w:rsidRPr="00630B33" w:rsidRDefault="003971A1" w:rsidP="008E7934">
            <w:pPr>
              <w:spacing w:after="0" w:line="240" w:lineRule="auto"/>
              <w:jc w:val="right"/>
              <w:rPr>
                <w:rFonts w:ascii="Times New Roman" w:eastAsia="Times New Roman" w:hAnsi="Times New Roman" w:cs="Times New Roman"/>
                <w:color w:val="000000"/>
                <w:sz w:val="24"/>
                <w:szCs w:val="24"/>
              </w:rPr>
            </w:pPr>
            <w:r w:rsidRPr="00630B33">
              <w:rPr>
                <w:rFonts w:ascii="Times New Roman" w:hAnsi="Times New Roman" w:cs="Times New Roman"/>
                <w:color w:val="000000"/>
                <w:sz w:val="24"/>
                <w:szCs w:val="24"/>
              </w:rPr>
              <w:t>2.59</w:t>
            </w:r>
          </w:p>
        </w:tc>
        <w:tc>
          <w:tcPr>
            <w:tcW w:w="1832" w:type="dxa"/>
            <w:tcBorders>
              <w:top w:val="nil"/>
              <w:left w:val="nil"/>
              <w:bottom w:val="nil"/>
              <w:right w:val="nil"/>
            </w:tcBorders>
            <w:shd w:val="clear" w:color="auto" w:fill="auto"/>
            <w:noWrap/>
            <w:vAlign w:val="bottom"/>
            <w:hideMark/>
          </w:tcPr>
          <w:p w14:paraId="6BC7860E" w14:textId="77777777" w:rsidR="003971A1" w:rsidRPr="00630B33" w:rsidRDefault="003971A1" w:rsidP="008E7934">
            <w:pPr>
              <w:spacing w:after="0" w:line="240" w:lineRule="auto"/>
              <w:jc w:val="center"/>
              <w:rPr>
                <w:rFonts w:ascii="Times New Roman" w:eastAsia="Times New Roman" w:hAnsi="Times New Roman" w:cs="Times New Roman"/>
                <w:color w:val="000000"/>
                <w:sz w:val="24"/>
                <w:szCs w:val="24"/>
              </w:rPr>
            </w:pPr>
            <w:r w:rsidRPr="00630B33">
              <w:rPr>
                <w:rFonts w:ascii="Times New Roman" w:hAnsi="Times New Roman" w:cs="Times New Roman"/>
                <w:color w:val="000000"/>
                <w:sz w:val="24"/>
                <w:szCs w:val="24"/>
              </w:rPr>
              <w:t>0.359</w:t>
            </w:r>
          </w:p>
        </w:tc>
      </w:tr>
      <w:tr w:rsidR="003971A1" w:rsidRPr="00D7040E" w14:paraId="388CFC2B" w14:textId="77777777" w:rsidTr="008E7934">
        <w:trPr>
          <w:trHeight w:val="150"/>
          <w:jc w:val="center"/>
        </w:trPr>
        <w:tc>
          <w:tcPr>
            <w:tcW w:w="4354" w:type="dxa"/>
            <w:tcBorders>
              <w:top w:val="nil"/>
              <w:left w:val="nil"/>
              <w:bottom w:val="single" w:sz="4" w:space="0" w:color="auto"/>
              <w:right w:val="nil"/>
            </w:tcBorders>
            <w:shd w:val="clear" w:color="auto" w:fill="auto"/>
            <w:noWrap/>
            <w:vAlign w:val="bottom"/>
            <w:hideMark/>
          </w:tcPr>
          <w:p w14:paraId="148FB741" w14:textId="77777777" w:rsidR="003971A1" w:rsidRPr="00C65707" w:rsidRDefault="003971A1" w:rsidP="008E7934">
            <w:pPr>
              <w:spacing w:after="0" w:line="240" w:lineRule="auto"/>
              <w:jc w:val="right"/>
              <w:rPr>
                <w:rFonts w:ascii="Times New Roman" w:eastAsia="Times New Roman" w:hAnsi="Times New Roman" w:cs="Times New Roman"/>
                <w:color w:val="000000"/>
              </w:rPr>
            </w:pPr>
            <w:r w:rsidRPr="00C65707">
              <w:rPr>
                <w:rFonts w:ascii="Times New Roman" w:eastAsia="Times New Roman" w:hAnsi="Times New Roman" w:cs="Times New Roman"/>
                <w:color w:val="000000"/>
              </w:rPr>
              <w:t> </w:t>
            </w:r>
          </w:p>
        </w:tc>
        <w:tc>
          <w:tcPr>
            <w:tcW w:w="1249" w:type="dxa"/>
            <w:tcBorders>
              <w:top w:val="nil"/>
              <w:left w:val="nil"/>
              <w:bottom w:val="single" w:sz="4" w:space="0" w:color="auto"/>
              <w:right w:val="nil"/>
            </w:tcBorders>
            <w:shd w:val="clear" w:color="auto" w:fill="auto"/>
            <w:noWrap/>
            <w:vAlign w:val="bottom"/>
            <w:hideMark/>
          </w:tcPr>
          <w:p w14:paraId="6875F2E8" w14:textId="77777777" w:rsidR="003971A1" w:rsidRPr="00256C23" w:rsidRDefault="003971A1" w:rsidP="008E7934">
            <w:pPr>
              <w:spacing w:after="0" w:line="240" w:lineRule="auto"/>
              <w:jc w:val="right"/>
              <w:rPr>
                <w:rFonts w:ascii="Times New Roman" w:eastAsia="Times New Roman" w:hAnsi="Times New Roman" w:cs="Times New Roman"/>
                <w:color w:val="000000"/>
              </w:rPr>
            </w:pPr>
            <w:r w:rsidRPr="00256C23">
              <w:rPr>
                <w:rFonts w:ascii="Times New Roman" w:eastAsia="Times New Roman" w:hAnsi="Times New Roman" w:cs="Times New Roman"/>
                <w:color w:val="000000"/>
              </w:rPr>
              <w:t> </w:t>
            </w:r>
          </w:p>
        </w:tc>
        <w:tc>
          <w:tcPr>
            <w:tcW w:w="1249" w:type="dxa"/>
            <w:tcBorders>
              <w:top w:val="nil"/>
              <w:left w:val="nil"/>
              <w:bottom w:val="single" w:sz="4" w:space="0" w:color="auto"/>
              <w:right w:val="nil"/>
            </w:tcBorders>
            <w:shd w:val="clear" w:color="auto" w:fill="auto"/>
            <w:noWrap/>
            <w:vAlign w:val="bottom"/>
            <w:hideMark/>
          </w:tcPr>
          <w:p w14:paraId="0FF49443" w14:textId="77777777" w:rsidR="003971A1" w:rsidRPr="00366A4B" w:rsidRDefault="003971A1" w:rsidP="008E7934">
            <w:pPr>
              <w:spacing w:after="0" w:line="240" w:lineRule="auto"/>
              <w:jc w:val="right"/>
              <w:rPr>
                <w:rFonts w:ascii="Times New Roman" w:eastAsia="Times New Roman" w:hAnsi="Times New Roman" w:cs="Times New Roman"/>
                <w:color w:val="000000"/>
              </w:rPr>
            </w:pPr>
            <w:r w:rsidRPr="00366A4B">
              <w:rPr>
                <w:rFonts w:ascii="Times New Roman" w:eastAsia="Times New Roman" w:hAnsi="Times New Roman" w:cs="Times New Roman"/>
                <w:color w:val="000000"/>
              </w:rPr>
              <w:t> </w:t>
            </w:r>
          </w:p>
        </w:tc>
        <w:tc>
          <w:tcPr>
            <w:tcW w:w="1249" w:type="dxa"/>
            <w:tcBorders>
              <w:top w:val="nil"/>
              <w:left w:val="nil"/>
              <w:bottom w:val="single" w:sz="4" w:space="0" w:color="auto"/>
              <w:right w:val="nil"/>
            </w:tcBorders>
            <w:shd w:val="clear" w:color="auto" w:fill="auto"/>
            <w:noWrap/>
            <w:vAlign w:val="bottom"/>
            <w:hideMark/>
          </w:tcPr>
          <w:p w14:paraId="34E889FC" w14:textId="77777777" w:rsidR="003971A1" w:rsidRPr="00A149E8" w:rsidRDefault="003971A1" w:rsidP="008E7934">
            <w:pPr>
              <w:spacing w:after="0" w:line="240" w:lineRule="auto"/>
              <w:rPr>
                <w:rFonts w:ascii="Times New Roman" w:eastAsia="Times New Roman" w:hAnsi="Times New Roman" w:cs="Times New Roman"/>
                <w:color w:val="000000"/>
              </w:rPr>
            </w:pPr>
            <w:r w:rsidRPr="00366A4B">
              <w:rPr>
                <w:rFonts w:ascii="Times New Roman" w:eastAsia="Times New Roman" w:hAnsi="Times New Roman" w:cs="Times New Roman"/>
                <w:color w:val="000000"/>
              </w:rPr>
              <w:t> </w:t>
            </w:r>
          </w:p>
        </w:tc>
        <w:tc>
          <w:tcPr>
            <w:tcW w:w="1249" w:type="dxa"/>
            <w:tcBorders>
              <w:top w:val="nil"/>
              <w:left w:val="nil"/>
              <w:bottom w:val="single" w:sz="4" w:space="0" w:color="auto"/>
              <w:right w:val="nil"/>
            </w:tcBorders>
            <w:shd w:val="clear" w:color="auto" w:fill="auto"/>
            <w:noWrap/>
            <w:vAlign w:val="bottom"/>
            <w:hideMark/>
          </w:tcPr>
          <w:p w14:paraId="58025280" w14:textId="77777777" w:rsidR="003971A1" w:rsidRPr="00C65707" w:rsidRDefault="003971A1" w:rsidP="008E7934">
            <w:pPr>
              <w:spacing w:after="0" w:line="240" w:lineRule="auto"/>
              <w:rPr>
                <w:rFonts w:ascii="Times New Roman" w:eastAsia="Times New Roman" w:hAnsi="Times New Roman" w:cs="Times New Roman"/>
                <w:color w:val="000000"/>
              </w:rPr>
            </w:pPr>
            <w:r w:rsidRPr="00C65707">
              <w:rPr>
                <w:rFonts w:ascii="Times New Roman" w:eastAsia="Times New Roman" w:hAnsi="Times New Roman" w:cs="Times New Roman"/>
                <w:color w:val="000000"/>
              </w:rPr>
              <w:t> </w:t>
            </w:r>
          </w:p>
        </w:tc>
        <w:tc>
          <w:tcPr>
            <w:tcW w:w="1249" w:type="dxa"/>
            <w:tcBorders>
              <w:top w:val="nil"/>
              <w:left w:val="nil"/>
              <w:bottom w:val="single" w:sz="4" w:space="0" w:color="auto"/>
              <w:right w:val="nil"/>
            </w:tcBorders>
            <w:shd w:val="clear" w:color="auto" w:fill="auto"/>
            <w:noWrap/>
            <w:vAlign w:val="bottom"/>
            <w:hideMark/>
          </w:tcPr>
          <w:p w14:paraId="6C23DD0D" w14:textId="77777777" w:rsidR="003971A1" w:rsidRPr="00C65707" w:rsidRDefault="003971A1" w:rsidP="008E7934">
            <w:pPr>
              <w:spacing w:after="0" w:line="240" w:lineRule="auto"/>
              <w:rPr>
                <w:rFonts w:ascii="Times New Roman" w:eastAsia="Times New Roman" w:hAnsi="Times New Roman" w:cs="Times New Roman"/>
                <w:color w:val="000000"/>
              </w:rPr>
            </w:pPr>
            <w:r w:rsidRPr="00C65707">
              <w:rPr>
                <w:rFonts w:ascii="Times New Roman" w:eastAsia="Times New Roman" w:hAnsi="Times New Roman" w:cs="Times New Roman"/>
                <w:color w:val="000000"/>
              </w:rPr>
              <w:t> </w:t>
            </w:r>
          </w:p>
        </w:tc>
        <w:tc>
          <w:tcPr>
            <w:tcW w:w="1249" w:type="dxa"/>
            <w:tcBorders>
              <w:top w:val="nil"/>
              <w:left w:val="nil"/>
              <w:bottom w:val="single" w:sz="4" w:space="0" w:color="auto"/>
              <w:right w:val="nil"/>
            </w:tcBorders>
            <w:shd w:val="clear" w:color="auto" w:fill="auto"/>
            <w:noWrap/>
            <w:vAlign w:val="bottom"/>
            <w:hideMark/>
          </w:tcPr>
          <w:p w14:paraId="36E432C9" w14:textId="77777777" w:rsidR="003971A1" w:rsidRPr="00C65707" w:rsidRDefault="003971A1" w:rsidP="008E7934">
            <w:pPr>
              <w:spacing w:after="0" w:line="240" w:lineRule="auto"/>
              <w:rPr>
                <w:rFonts w:ascii="Times New Roman" w:eastAsia="Times New Roman" w:hAnsi="Times New Roman" w:cs="Times New Roman"/>
                <w:color w:val="000000"/>
              </w:rPr>
            </w:pPr>
            <w:r w:rsidRPr="00C65707">
              <w:rPr>
                <w:rFonts w:ascii="Times New Roman" w:eastAsia="Times New Roman" w:hAnsi="Times New Roman" w:cs="Times New Roman"/>
                <w:color w:val="000000"/>
              </w:rPr>
              <w:t> </w:t>
            </w:r>
          </w:p>
        </w:tc>
        <w:tc>
          <w:tcPr>
            <w:tcW w:w="1832" w:type="dxa"/>
            <w:tcBorders>
              <w:top w:val="nil"/>
              <w:left w:val="nil"/>
              <w:bottom w:val="single" w:sz="4" w:space="0" w:color="auto"/>
              <w:right w:val="nil"/>
            </w:tcBorders>
            <w:shd w:val="clear" w:color="auto" w:fill="auto"/>
            <w:noWrap/>
            <w:vAlign w:val="bottom"/>
            <w:hideMark/>
          </w:tcPr>
          <w:p w14:paraId="6B7D149F" w14:textId="77777777" w:rsidR="003971A1" w:rsidRPr="00C65707" w:rsidRDefault="003971A1" w:rsidP="008E7934">
            <w:pPr>
              <w:spacing w:after="0" w:line="240" w:lineRule="auto"/>
              <w:rPr>
                <w:rFonts w:ascii="Times New Roman" w:eastAsia="Times New Roman" w:hAnsi="Times New Roman" w:cs="Times New Roman"/>
                <w:color w:val="000000"/>
              </w:rPr>
            </w:pPr>
            <w:r w:rsidRPr="00C65707">
              <w:rPr>
                <w:rFonts w:ascii="Times New Roman" w:eastAsia="Times New Roman" w:hAnsi="Times New Roman" w:cs="Times New Roman"/>
                <w:color w:val="000000"/>
              </w:rPr>
              <w:t> </w:t>
            </w:r>
          </w:p>
        </w:tc>
      </w:tr>
      <w:tr w:rsidR="003971A1" w:rsidRPr="00D7040E" w14:paraId="38A47033" w14:textId="77777777" w:rsidTr="008E7934">
        <w:trPr>
          <w:trHeight w:val="910"/>
          <w:jc w:val="center"/>
        </w:trPr>
        <w:tc>
          <w:tcPr>
            <w:tcW w:w="13680" w:type="dxa"/>
            <w:gridSpan w:val="8"/>
            <w:tcBorders>
              <w:top w:val="single" w:sz="4" w:space="0" w:color="auto"/>
              <w:left w:val="nil"/>
              <w:bottom w:val="nil"/>
              <w:right w:val="nil"/>
            </w:tcBorders>
            <w:shd w:val="clear" w:color="auto" w:fill="auto"/>
            <w:hideMark/>
          </w:tcPr>
          <w:p w14:paraId="13B2C063" w14:textId="77777777" w:rsidR="003971A1" w:rsidRPr="00C65707" w:rsidRDefault="003971A1" w:rsidP="008E7934">
            <w:pPr>
              <w:spacing w:before="120" w:after="0" w:line="240" w:lineRule="auto"/>
              <w:rPr>
                <w:rFonts w:ascii="Times New Roman" w:eastAsia="Times New Roman" w:hAnsi="Times New Roman" w:cs="Times New Roman"/>
                <w:color w:val="000000"/>
                <w:sz w:val="20"/>
                <w:szCs w:val="20"/>
              </w:rPr>
            </w:pPr>
            <w:r w:rsidRPr="00C65707">
              <w:rPr>
                <w:rFonts w:ascii="Times New Roman" w:eastAsia="Times New Roman" w:hAnsi="Times New Roman" w:cs="Times New Roman"/>
                <w:i/>
                <w:color w:val="000000"/>
                <w:sz w:val="20"/>
                <w:szCs w:val="20"/>
              </w:rPr>
              <w:t>Note</w:t>
            </w:r>
            <w:r w:rsidRPr="00C65707">
              <w:rPr>
                <w:rFonts w:ascii="Times New Roman" w:eastAsia="Times New Roman" w:hAnsi="Times New Roman" w:cs="Times New Roman"/>
                <w:smallCaps/>
                <w:color w:val="000000"/>
                <w:sz w:val="20"/>
                <w:szCs w:val="20"/>
              </w:rPr>
              <w:t>:</w:t>
            </w:r>
            <w:r w:rsidRPr="00D20563">
              <w:rPr>
                <w:rFonts w:ascii="Times New Roman" w:eastAsia="Times New Roman" w:hAnsi="Times New Roman" w:cs="Times New Roman"/>
                <w:smallCaps/>
                <w:color w:val="000000"/>
                <w:sz w:val="20"/>
                <w:szCs w:val="20"/>
              </w:rPr>
              <w:t xml:space="preserve"> </w:t>
            </w:r>
            <w:r w:rsidRPr="00040264">
              <w:rPr>
                <w:rFonts w:ascii="Times New Roman" w:eastAsia="Times New Roman" w:hAnsi="Times New Roman" w:cs="Times New Roman"/>
                <w:color w:val="000000"/>
                <w:sz w:val="20"/>
                <w:szCs w:val="20"/>
              </w:rPr>
              <w:t xml:space="preserve">The distribution method assigns </w:t>
            </w:r>
            <w:r w:rsidRPr="00EE6CF2">
              <w:rPr>
                <w:rFonts w:ascii="Times New Roman" w:eastAsia="Times New Roman" w:hAnsi="Times New Roman" w:cs="Times New Roman"/>
                <w:color w:val="000000"/>
                <w:sz w:val="20"/>
                <w:szCs w:val="20"/>
              </w:rPr>
              <w:t>“</w:t>
            </w:r>
            <w:r w:rsidRPr="00D259F5">
              <w:rPr>
                <w:rFonts w:ascii="Times New Roman" w:eastAsia="Times New Roman" w:hAnsi="Times New Roman" w:cs="Times New Roman"/>
                <w:color w:val="000000"/>
                <w:sz w:val="20"/>
                <w:szCs w:val="20"/>
              </w:rPr>
              <w:t>treated</w:t>
            </w:r>
            <w:r w:rsidRPr="00D63F9B">
              <w:rPr>
                <w:rFonts w:ascii="Times New Roman" w:eastAsia="Times New Roman" w:hAnsi="Times New Roman" w:cs="Times New Roman"/>
                <w:color w:val="000000"/>
                <w:sz w:val="20"/>
                <w:szCs w:val="20"/>
              </w:rPr>
              <w:t xml:space="preserve">” individuals a </w:t>
            </w:r>
            <w:r w:rsidRPr="00256C23">
              <w:rPr>
                <w:rFonts w:ascii="Times New Roman" w:eastAsia="Times New Roman" w:hAnsi="Times New Roman" w:cs="Times New Roman"/>
                <w:color w:val="000000"/>
                <w:sz w:val="20"/>
                <w:szCs w:val="20"/>
              </w:rPr>
              <w:t>random draw from the earnings distribution of the assigned group (AA or BA). The causal parameter method increases the earnings of the treated by a factor consistent with exist</w:t>
            </w:r>
            <w:r w:rsidRPr="00366A4B">
              <w:rPr>
                <w:rFonts w:ascii="Times New Roman" w:eastAsia="Times New Roman" w:hAnsi="Times New Roman" w:cs="Times New Roman"/>
                <w:color w:val="000000"/>
                <w:sz w:val="20"/>
                <w:szCs w:val="20"/>
              </w:rPr>
              <w:t>ing literature (see text). We include general</w:t>
            </w:r>
            <w:r w:rsidRPr="00A149E8">
              <w:rPr>
                <w:rFonts w:ascii="Times New Roman" w:eastAsia="Times New Roman" w:hAnsi="Times New Roman" w:cs="Times New Roman"/>
                <w:color w:val="000000"/>
                <w:sz w:val="20"/>
                <w:szCs w:val="20"/>
              </w:rPr>
              <w:t xml:space="preserve"> equilibrium effects </w:t>
            </w:r>
            <w:r w:rsidRPr="00D00E15">
              <w:rPr>
                <w:rFonts w:ascii="Times New Roman" w:eastAsia="Times New Roman" w:hAnsi="Times New Roman" w:cs="Times New Roman"/>
                <w:color w:val="000000"/>
                <w:sz w:val="20"/>
                <w:szCs w:val="20"/>
              </w:rPr>
              <w:t>on wages in these simulations</w:t>
            </w:r>
            <w:r w:rsidRPr="00C65707">
              <w:rPr>
                <w:rFonts w:ascii="Times New Roman" w:eastAsia="Times New Roman" w:hAnsi="Times New Roman" w:cs="Times New Roman"/>
                <w:color w:val="000000"/>
                <w:sz w:val="20"/>
                <w:szCs w:val="20"/>
              </w:rPr>
              <w:t>, as explained in the text.</w:t>
            </w:r>
          </w:p>
          <w:p w14:paraId="4B8B435F" w14:textId="77777777" w:rsidR="003971A1" w:rsidRPr="00C65707" w:rsidRDefault="003971A1" w:rsidP="008E7934">
            <w:pPr>
              <w:spacing w:before="120" w:after="0" w:line="240" w:lineRule="auto"/>
              <w:rPr>
                <w:rFonts w:ascii="Times New Roman" w:eastAsia="Times New Roman" w:hAnsi="Times New Roman" w:cs="Times New Roman"/>
                <w:color w:val="000000"/>
                <w:sz w:val="20"/>
                <w:szCs w:val="20"/>
              </w:rPr>
            </w:pPr>
            <w:r w:rsidRPr="00C65707">
              <w:rPr>
                <w:rFonts w:ascii="Times New Roman" w:eastAsia="Times New Roman" w:hAnsi="Times New Roman" w:cs="Times New Roman"/>
                <w:i/>
                <w:color w:val="000000"/>
                <w:sz w:val="20"/>
                <w:szCs w:val="20"/>
              </w:rPr>
              <w:t>Source</w:t>
            </w:r>
            <w:r w:rsidRPr="00C65707">
              <w:rPr>
                <w:rFonts w:ascii="Times New Roman" w:eastAsia="Times New Roman" w:hAnsi="Times New Roman" w:cs="Times New Roman"/>
                <w:color w:val="000000"/>
                <w:sz w:val="20"/>
                <w:szCs w:val="20"/>
              </w:rPr>
              <w:t>: Authors’ calculations of March Current Population Survey 1980 and 2019 (Flood et al., 2019).</w:t>
            </w:r>
          </w:p>
        </w:tc>
      </w:tr>
    </w:tbl>
    <w:p w14:paraId="07ACAE8A" w14:textId="77777777" w:rsidR="000F7C00" w:rsidRDefault="000F7C00" w:rsidP="000F7C00">
      <w:r>
        <w:br w:type="page"/>
      </w:r>
    </w:p>
    <w:tbl>
      <w:tblPr>
        <w:tblW w:w="13680" w:type="dxa"/>
        <w:jc w:val="center"/>
        <w:tblLayout w:type="fixed"/>
        <w:tblLook w:val="04A0" w:firstRow="1" w:lastRow="0" w:firstColumn="1" w:lastColumn="0" w:noHBand="0" w:noVBand="1"/>
      </w:tblPr>
      <w:tblGrid>
        <w:gridCol w:w="4484"/>
        <w:gridCol w:w="1135"/>
        <w:gridCol w:w="98"/>
        <w:gridCol w:w="1037"/>
        <w:gridCol w:w="198"/>
        <w:gridCol w:w="1217"/>
        <w:gridCol w:w="14"/>
        <w:gridCol w:w="1233"/>
        <w:gridCol w:w="2132"/>
        <w:gridCol w:w="2132"/>
      </w:tblGrid>
      <w:tr w:rsidR="000F7C00" w:rsidRPr="00CD452F" w14:paraId="2F23FFFA" w14:textId="77777777" w:rsidTr="00211FA3">
        <w:trPr>
          <w:trHeight w:val="290"/>
          <w:jc w:val="center"/>
        </w:trPr>
        <w:tc>
          <w:tcPr>
            <w:tcW w:w="11548" w:type="dxa"/>
            <w:gridSpan w:val="9"/>
            <w:tcBorders>
              <w:top w:val="nil"/>
              <w:left w:val="nil"/>
              <w:bottom w:val="single" w:sz="4" w:space="0" w:color="auto"/>
              <w:right w:val="nil"/>
            </w:tcBorders>
            <w:shd w:val="clear" w:color="auto" w:fill="auto"/>
            <w:noWrap/>
            <w:vAlign w:val="bottom"/>
            <w:hideMark/>
          </w:tcPr>
          <w:p w14:paraId="06B0A852" w14:textId="77777777" w:rsidR="000F7C00" w:rsidRPr="003927E6" w:rsidRDefault="000F7C00" w:rsidP="00211FA3">
            <w:pPr>
              <w:spacing w:after="120" w:line="240" w:lineRule="auto"/>
              <w:rPr>
                <w:rFonts w:ascii="Times New Roman" w:eastAsia="Times New Roman" w:hAnsi="Times New Roman" w:cs="Times New Roman"/>
                <w:b/>
                <w:bCs/>
                <w:color w:val="000000"/>
                <w:sz w:val="24"/>
                <w:szCs w:val="24"/>
              </w:rPr>
            </w:pPr>
            <w:r w:rsidRPr="003927E6">
              <w:rPr>
                <w:rFonts w:ascii="Times New Roman" w:eastAsia="Times New Roman" w:hAnsi="Times New Roman" w:cs="Times New Roman"/>
                <w:b/>
                <w:bCs/>
                <w:color w:val="000000"/>
                <w:sz w:val="24"/>
                <w:szCs w:val="24"/>
              </w:rPr>
              <w:lastRenderedPageBreak/>
              <w:t>Table 4</w:t>
            </w:r>
            <w:r>
              <w:rPr>
                <w:rFonts w:ascii="Times New Roman" w:eastAsia="Times New Roman" w:hAnsi="Times New Roman" w:cs="Times New Roman"/>
                <w:b/>
                <w:bCs/>
                <w:color w:val="000000"/>
                <w:sz w:val="24"/>
                <w:szCs w:val="24"/>
              </w:rPr>
              <w:t>d</w:t>
            </w:r>
            <w:r w:rsidRPr="003927E6">
              <w:rPr>
                <w:rFonts w:ascii="Times New Roman" w:eastAsia="Times New Roman" w:hAnsi="Times New Roman" w:cs="Times New Roman"/>
                <w:b/>
                <w:bCs/>
                <w:color w:val="000000"/>
                <w:sz w:val="24"/>
                <w:szCs w:val="24"/>
              </w:rPr>
              <w:t xml:space="preserve">: Observed and Simulated </w:t>
            </w:r>
            <w:r>
              <w:rPr>
                <w:rFonts w:ascii="Times New Roman" w:eastAsia="Times New Roman" w:hAnsi="Times New Roman" w:cs="Times New Roman"/>
                <w:b/>
                <w:bCs/>
                <w:color w:val="000000"/>
                <w:sz w:val="24"/>
                <w:szCs w:val="24"/>
              </w:rPr>
              <w:t>Percentile E</w:t>
            </w:r>
            <w:r w:rsidRPr="003927E6">
              <w:rPr>
                <w:rFonts w:ascii="Times New Roman" w:eastAsia="Times New Roman" w:hAnsi="Times New Roman" w:cs="Times New Roman"/>
                <w:b/>
                <w:bCs/>
                <w:color w:val="000000"/>
                <w:sz w:val="24"/>
                <w:szCs w:val="24"/>
              </w:rPr>
              <w:t xml:space="preserve">arnings </w:t>
            </w:r>
            <w:r>
              <w:rPr>
                <w:rFonts w:ascii="Times New Roman" w:eastAsia="Times New Roman" w:hAnsi="Times New Roman" w:cs="Times New Roman"/>
                <w:b/>
                <w:bCs/>
                <w:color w:val="000000"/>
                <w:sz w:val="24"/>
                <w:szCs w:val="24"/>
              </w:rPr>
              <w:t>R</w:t>
            </w:r>
            <w:r w:rsidRPr="003927E6">
              <w:rPr>
                <w:rFonts w:ascii="Times New Roman" w:eastAsia="Times New Roman" w:hAnsi="Times New Roman" w:cs="Times New Roman"/>
                <w:b/>
                <w:bCs/>
                <w:color w:val="000000"/>
                <w:sz w:val="24"/>
                <w:szCs w:val="24"/>
              </w:rPr>
              <w:t>atios: All Men</w:t>
            </w:r>
          </w:p>
        </w:tc>
        <w:tc>
          <w:tcPr>
            <w:tcW w:w="2132" w:type="dxa"/>
            <w:tcBorders>
              <w:top w:val="nil"/>
              <w:left w:val="nil"/>
              <w:bottom w:val="single" w:sz="4" w:space="0" w:color="auto"/>
              <w:right w:val="nil"/>
            </w:tcBorders>
          </w:tcPr>
          <w:p w14:paraId="42361081" w14:textId="77777777" w:rsidR="000F7C00" w:rsidRPr="003927E6" w:rsidRDefault="000F7C00" w:rsidP="00211FA3">
            <w:pPr>
              <w:spacing w:after="120" w:line="240" w:lineRule="auto"/>
              <w:rPr>
                <w:rFonts w:ascii="Times New Roman" w:eastAsia="Times New Roman" w:hAnsi="Times New Roman" w:cs="Times New Roman"/>
                <w:b/>
                <w:bCs/>
                <w:color w:val="000000"/>
                <w:sz w:val="24"/>
                <w:szCs w:val="24"/>
              </w:rPr>
            </w:pPr>
          </w:p>
        </w:tc>
      </w:tr>
      <w:tr w:rsidR="000F7C00" w:rsidRPr="00CD452F" w14:paraId="69551643" w14:textId="77777777" w:rsidTr="00211FA3">
        <w:trPr>
          <w:trHeight w:val="570"/>
          <w:jc w:val="center"/>
        </w:trPr>
        <w:tc>
          <w:tcPr>
            <w:tcW w:w="4484" w:type="dxa"/>
            <w:tcBorders>
              <w:top w:val="nil"/>
              <w:left w:val="nil"/>
              <w:bottom w:val="single" w:sz="4" w:space="0" w:color="auto"/>
              <w:right w:val="nil"/>
            </w:tcBorders>
            <w:shd w:val="clear" w:color="auto" w:fill="auto"/>
            <w:noWrap/>
            <w:vAlign w:val="bottom"/>
            <w:hideMark/>
          </w:tcPr>
          <w:p w14:paraId="131FEEDE" w14:textId="77777777" w:rsidR="000F7C00" w:rsidRPr="003927E6" w:rsidRDefault="000F7C00" w:rsidP="00211FA3">
            <w:pPr>
              <w:spacing w:after="0" w:line="240" w:lineRule="auto"/>
              <w:rPr>
                <w:rFonts w:ascii="Times New Roman" w:eastAsia="Times New Roman" w:hAnsi="Times New Roman" w:cs="Times New Roman"/>
                <w:b/>
                <w:bCs/>
                <w:color w:val="000000"/>
                <w:sz w:val="24"/>
                <w:szCs w:val="24"/>
              </w:rPr>
            </w:pPr>
            <w:r w:rsidRPr="003927E6">
              <w:rPr>
                <w:rFonts w:ascii="Times New Roman" w:eastAsia="Times New Roman" w:hAnsi="Times New Roman" w:cs="Times New Roman"/>
                <w:b/>
                <w:bCs/>
                <w:color w:val="000000"/>
                <w:sz w:val="24"/>
                <w:szCs w:val="24"/>
              </w:rPr>
              <w:t> </w:t>
            </w:r>
          </w:p>
        </w:tc>
        <w:tc>
          <w:tcPr>
            <w:tcW w:w="1233" w:type="dxa"/>
            <w:gridSpan w:val="2"/>
            <w:tcBorders>
              <w:top w:val="nil"/>
              <w:left w:val="nil"/>
              <w:bottom w:val="single" w:sz="4" w:space="0" w:color="auto"/>
              <w:right w:val="nil"/>
            </w:tcBorders>
            <w:shd w:val="clear" w:color="auto" w:fill="auto"/>
            <w:noWrap/>
            <w:vAlign w:val="bottom"/>
            <w:hideMark/>
          </w:tcPr>
          <w:p w14:paraId="4B1B7458" w14:textId="77777777" w:rsidR="000F7C00" w:rsidRPr="003927E6" w:rsidRDefault="000F7C00" w:rsidP="00211FA3">
            <w:pPr>
              <w:spacing w:after="0" w:line="240" w:lineRule="auto"/>
              <w:jc w:val="right"/>
              <w:rPr>
                <w:rFonts w:ascii="Times New Roman" w:eastAsia="Times New Roman" w:hAnsi="Times New Roman" w:cs="Times New Roman"/>
                <w:color w:val="000000"/>
                <w:sz w:val="24"/>
                <w:szCs w:val="24"/>
              </w:rPr>
            </w:pPr>
            <w:r w:rsidRPr="003927E6">
              <w:rPr>
                <w:rFonts w:ascii="Times New Roman" w:eastAsia="Times New Roman" w:hAnsi="Times New Roman" w:cs="Times New Roman"/>
                <w:color w:val="000000"/>
                <w:sz w:val="24"/>
                <w:szCs w:val="24"/>
              </w:rPr>
              <w:t>r50/25</w:t>
            </w:r>
          </w:p>
        </w:tc>
        <w:tc>
          <w:tcPr>
            <w:tcW w:w="1235" w:type="dxa"/>
            <w:gridSpan w:val="2"/>
            <w:tcBorders>
              <w:top w:val="nil"/>
              <w:left w:val="nil"/>
              <w:bottom w:val="single" w:sz="4" w:space="0" w:color="auto"/>
              <w:right w:val="nil"/>
            </w:tcBorders>
            <w:shd w:val="clear" w:color="auto" w:fill="auto"/>
            <w:noWrap/>
            <w:vAlign w:val="bottom"/>
            <w:hideMark/>
          </w:tcPr>
          <w:p w14:paraId="774B288F" w14:textId="77777777" w:rsidR="000F7C00" w:rsidRPr="003927E6" w:rsidRDefault="000F7C00" w:rsidP="00211FA3">
            <w:pPr>
              <w:spacing w:after="0" w:line="240" w:lineRule="auto"/>
              <w:jc w:val="right"/>
              <w:rPr>
                <w:rFonts w:ascii="Times New Roman" w:eastAsia="Times New Roman" w:hAnsi="Times New Roman" w:cs="Times New Roman"/>
                <w:color w:val="000000"/>
                <w:sz w:val="24"/>
                <w:szCs w:val="24"/>
              </w:rPr>
            </w:pPr>
            <w:r w:rsidRPr="003927E6">
              <w:rPr>
                <w:rFonts w:ascii="Times New Roman" w:eastAsia="Times New Roman" w:hAnsi="Times New Roman" w:cs="Times New Roman"/>
                <w:color w:val="000000"/>
                <w:sz w:val="24"/>
                <w:szCs w:val="24"/>
              </w:rPr>
              <w:t>r90/25</w:t>
            </w:r>
          </w:p>
        </w:tc>
        <w:tc>
          <w:tcPr>
            <w:tcW w:w="1231" w:type="dxa"/>
            <w:gridSpan w:val="2"/>
            <w:tcBorders>
              <w:top w:val="nil"/>
              <w:left w:val="nil"/>
              <w:bottom w:val="single" w:sz="4" w:space="0" w:color="auto"/>
              <w:right w:val="nil"/>
            </w:tcBorders>
            <w:shd w:val="clear" w:color="auto" w:fill="auto"/>
            <w:noWrap/>
            <w:vAlign w:val="bottom"/>
            <w:hideMark/>
          </w:tcPr>
          <w:p w14:paraId="195FF8ED" w14:textId="77777777" w:rsidR="000F7C00" w:rsidRPr="003927E6" w:rsidRDefault="000F7C00" w:rsidP="00211FA3">
            <w:pPr>
              <w:spacing w:after="0" w:line="240" w:lineRule="auto"/>
              <w:jc w:val="right"/>
              <w:rPr>
                <w:rFonts w:ascii="Times New Roman" w:eastAsia="Times New Roman" w:hAnsi="Times New Roman" w:cs="Times New Roman"/>
                <w:color w:val="000000"/>
                <w:sz w:val="24"/>
                <w:szCs w:val="24"/>
              </w:rPr>
            </w:pPr>
            <w:r w:rsidRPr="003927E6">
              <w:rPr>
                <w:rFonts w:ascii="Times New Roman" w:eastAsia="Times New Roman" w:hAnsi="Times New Roman" w:cs="Times New Roman"/>
                <w:color w:val="000000"/>
                <w:sz w:val="24"/>
                <w:szCs w:val="24"/>
              </w:rPr>
              <w:t>r90/50</w:t>
            </w:r>
          </w:p>
        </w:tc>
        <w:tc>
          <w:tcPr>
            <w:tcW w:w="1233" w:type="dxa"/>
            <w:tcBorders>
              <w:top w:val="nil"/>
              <w:left w:val="nil"/>
              <w:bottom w:val="single" w:sz="4" w:space="0" w:color="auto"/>
              <w:right w:val="nil"/>
            </w:tcBorders>
            <w:shd w:val="clear" w:color="auto" w:fill="auto"/>
            <w:noWrap/>
            <w:vAlign w:val="bottom"/>
            <w:hideMark/>
          </w:tcPr>
          <w:p w14:paraId="11DD630F" w14:textId="77777777" w:rsidR="000F7C00" w:rsidRPr="003927E6" w:rsidRDefault="000F7C00" w:rsidP="00211FA3">
            <w:pPr>
              <w:spacing w:after="0" w:line="240" w:lineRule="auto"/>
              <w:jc w:val="right"/>
              <w:rPr>
                <w:rFonts w:ascii="Times New Roman" w:eastAsia="Times New Roman" w:hAnsi="Times New Roman" w:cs="Times New Roman"/>
                <w:color w:val="000000"/>
                <w:sz w:val="24"/>
                <w:szCs w:val="24"/>
              </w:rPr>
            </w:pPr>
            <w:r w:rsidRPr="003927E6">
              <w:rPr>
                <w:rFonts w:ascii="Times New Roman" w:eastAsia="Times New Roman" w:hAnsi="Times New Roman" w:cs="Times New Roman"/>
                <w:color w:val="000000"/>
                <w:sz w:val="24"/>
                <w:szCs w:val="24"/>
              </w:rPr>
              <w:t> r99/90</w:t>
            </w:r>
          </w:p>
        </w:tc>
        <w:tc>
          <w:tcPr>
            <w:tcW w:w="2132" w:type="dxa"/>
            <w:tcBorders>
              <w:top w:val="nil"/>
              <w:left w:val="nil"/>
              <w:bottom w:val="single" w:sz="4" w:space="0" w:color="auto"/>
              <w:right w:val="nil"/>
            </w:tcBorders>
            <w:shd w:val="clear" w:color="auto" w:fill="auto"/>
            <w:vAlign w:val="bottom"/>
            <w:hideMark/>
          </w:tcPr>
          <w:p w14:paraId="752DEA72" w14:textId="77777777" w:rsidR="000F7C00" w:rsidRPr="003927E6" w:rsidRDefault="000F7C00" w:rsidP="00211FA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Gini Coefficient</w:t>
            </w:r>
          </w:p>
        </w:tc>
        <w:tc>
          <w:tcPr>
            <w:tcW w:w="2132" w:type="dxa"/>
            <w:tcBorders>
              <w:top w:val="nil"/>
              <w:left w:val="nil"/>
              <w:bottom w:val="single" w:sz="4" w:space="0" w:color="auto"/>
              <w:right w:val="nil"/>
            </w:tcBorders>
            <w:vAlign w:val="bottom"/>
          </w:tcPr>
          <w:p w14:paraId="7D8819DC" w14:textId="77777777" w:rsidR="000F7C00" w:rsidRPr="003927E6" w:rsidRDefault="000F7C00" w:rsidP="00211FA3">
            <w:pPr>
              <w:spacing w:after="0" w:line="240" w:lineRule="auto"/>
              <w:jc w:val="right"/>
              <w:rPr>
                <w:rFonts w:ascii="Times New Roman" w:eastAsia="Times New Roman" w:hAnsi="Times New Roman" w:cs="Times New Roman"/>
                <w:color w:val="000000"/>
                <w:sz w:val="24"/>
                <w:szCs w:val="24"/>
              </w:rPr>
            </w:pPr>
            <w:r w:rsidRPr="003927E6">
              <w:rPr>
                <w:rFonts w:ascii="Times New Roman" w:eastAsia="Times New Roman" w:hAnsi="Times New Roman" w:cs="Times New Roman"/>
                <w:color w:val="000000"/>
                <w:sz w:val="24"/>
                <w:szCs w:val="24"/>
              </w:rPr>
              <w:t>Employment Rate</w:t>
            </w:r>
          </w:p>
        </w:tc>
      </w:tr>
      <w:tr w:rsidR="000F7C00" w:rsidRPr="00CD452F" w14:paraId="3FB1BCA8" w14:textId="77777777" w:rsidTr="00211FA3">
        <w:trPr>
          <w:trHeight w:val="140"/>
          <w:jc w:val="center"/>
        </w:trPr>
        <w:tc>
          <w:tcPr>
            <w:tcW w:w="4484" w:type="dxa"/>
            <w:tcBorders>
              <w:top w:val="nil"/>
              <w:left w:val="nil"/>
              <w:bottom w:val="nil"/>
              <w:right w:val="nil"/>
            </w:tcBorders>
            <w:shd w:val="clear" w:color="auto" w:fill="auto"/>
            <w:noWrap/>
            <w:vAlign w:val="bottom"/>
            <w:hideMark/>
          </w:tcPr>
          <w:p w14:paraId="00440699" w14:textId="77777777" w:rsidR="000F7C00" w:rsidRPr="003927E6" w:rsidRDefault="000F7C00" w:rsidP="00211FA3">
            <w:pPr>
              <w:spacing w:after="0" w:line="240" w:lineRule="auto"/>
              <w:jc w:val="center"/>
              <w:rPr>
                <w:rFonts w:ascii="Times New Roman" w:eastAsia="Times New Roman" w:hAnsi="Times New Roman" w:cs="Times New Roman"/>
                <w:color w:val="000000"/>
                <w:sz w:val="24"/>
                <w:szCs w:val="24"/>
              </w:rPr>
            </w:pPr>
          </w:p>
        </w:tc>
        <w:tc>
          <w:tcPr>
            <w:tcW w:w="1233" w:type="dxa"/>
            <w:gridSpan w:val="2"/>
            <w:tcBorders>
              <w:top w:val="nil"/>
              <w:left w:val="nil"/>
              <w:bottom w:val="nil"/>
              <w:right w:val="nil"/>
            </w:tcBorders>
            <w:shd w:val="clear" w:color="auto" w:fill="auto"/>
            <w:noWrap/>
            <w:vAlign w:val="bottom"/>
            <w:hideMark/>
          </w:tcPr>
          <w:p w14:paraId="4CBDD188" w14:textId="77777777" w:rsidR="000F7C00" w:rsidRPr="003927E6" w:rsidRDefault="000F7C00" w:rsidP="00211FA3">
            <w:pPr>
              <w:spacing w:after="0" w:line="240" w:lineRule="auto"/>
              <w:rPr>
                <w:rFonts w:ascii="Times New Roman" w:eastAsia="Times New Roman" w:hAnsi="Times New Roman" w:cs="Times New Roman"/>
                <w:sz w:val="24"/>
                <w:szCs w:val="24"/>
              </w:rPr>
            </w:pPr>
          </w:p>
        </w:tc>
        <w:tc>
          <w:tcPr>
            <w:tcW w:w="1235" w:type="dxa"/>
            <w:gridSpan w:val="2"/>
            <w:tcBorders>
              <w:top w:val="nil"/>
              <w:left w:val="nil"/>
              <w:bottom w:val="nil"/>
              <w:right w:val="nil"/>
            </w:tcBorders>
            <w:shd w:val="clear" w:color="auto" w:fill="auto"/>
            <w:noWrap/>
            <w:vAlign w:val="bottom"/>
            <w:hideMark/>
          </w:tcPr>
          <w:p w14:paraId="291C1FDB" w14:textId="77777777" w:rsidR="000F7C00" w:rsidRPr="003927E6" w:rsidRDefault="000F7C00" w:rsidP="00211FA3">
            <w:pPr>
              <w:spacing w:after="0" w:line="240" w:lineRule="auto"/>
              <w:rPr>
                <w:rFonts w:ascii="Times New Roman" w:eastAsia="Times New Roman" w:hAnsi="Times New Roman" w:cs="Times New Roman"/>
                <w:sz w:val="24"/>
                <w:szCs w:val="24"/>
              </w:rPr>
            </w:pPr>
          </w:p>
        </w:tc>
        <w:tc>
          <w:tcPr>
            <w:tcW w:w="1231" w:type="dxa"/>
            <w:gridSpan w:val="2"/>
            <w:tcBorders>
              <w:top w:val="nil"/>
              <w:left w:val="nil"/>
              <w:bottom w:val="nil"/>
              <w:right w:val="nil"/>
            </w:tcBorders>
            <w:shd w:val="clear" w:color="auto" w:fill="auto"/>
            <w:noWrap/>
            <w:vAlign w:val="bottom"/>
            <w:hideMark/>
          </w:tcPr>
          <w:p w14:paraId="36FEE76E" w14:textId="77777777" w:rsidR="000F7C00" w:rsidRPr="003927E6" w:rsidRDefault="000F7C00" w:rsidP="00211FA3">
            <w:pPr>
              <w:spacing w:after="0" w:line="240" w:lineRule="auto"/>
              <w:rPr>
                <w:rFonts w:ascii="Times New Roman" w:eastAsia="Times New Roman" w:hAnsi="Times New Roman" w:cs="Times New Roman"/>
                <w:sz w:val="24"/>
                <w:szCs w:val="24"/>
              </w:rPr>
            </w:pPr>
          </w:p>
        </w:tc>
        <w:tc>
          <w:tcPr>
            <w:tcW w:w="1233" w:type="dxa"/>
            <w:tcBorders>
              <w:top w:val="nil"/>
              <w:left w:val="nil"/>
              <w:bottom w:val="nil"/>
              <w:right w:val="nil"/>
            </w:tcBorders>
            <w:shd w:val="clear" w:color="auto" w:fill="auto"/>
            <w:noWrap/>
            <w:vAlign w:val="bottom"/>
            <w:hideMark/>
          </w:tcPr>
          <w:p w14:paraId="6C013CC0" w14:textId="77777777" w:rsidR="000F7C00" w:rsidRPr="003927E6" w:rsidRDefault="000F7C00" w:rsidP="00211FA3">
            <w:pPr>
              <w:spacing w:after="0" w:line="240" w:lineRule="auto"/>
              <w:rPr>
                <w:rFonts w:ascii="Times New Roman" w:eastAsia="Times New Roman" w:hAnsi="Times New Roman" w:cs="Times New Roman"/>
                <w:sz w:val="24"/>
                <w:szCs w:val="24"/>
              </w:rPr>
            </w:pPr>
          </w:p>
        </w:tc>
        <w:tc>
          <w:tcPr>
            <w:tcW w:w="2132" w:type="dxa"/>
            <w:tcBorders>
              <w:top w:val="nil"/>
              <w:left w:val="nil"/>
              <w:bottom w:val="nil"/>
              <w:right w:val="nil"/>
            </w:tcBorders>
            <w:shd w:val="clear" w:color="auto" w:fill="auto"/>
            <w:noWrap/>
            <w:vAlign w:val="bottom"/>
            <w:hideMark/>
          </w:tcPr>
          <w:p w14:paraId="06849122" w14:textId="77777777" w:rsidR="000F7C00" w:rsidRPr="003927E6" w:rsidRDefault="000F7C00" w:rsidP="00211FA3">
            <w:pPr>
              <w:spacing w:after="0" w:line="240" w:lineRule="auto"/>
              <w:rPr>
                <w:rFonts w:ascii="Times New Roman" w:eastAsia="Times New Roman" w:hAnsi="Times New Roman" w:cs="Times New Roman"/>
                <w:sz w:val="24"/>
                <w:szCs w:val="24"/>
              </w:rPr>
            </w:pPr>
          </w:p>
        </w:tc>
        <w:tc>
          <w:tcPr>
            <w:tcW w:w="2132" w:type="dxa"/>
            <w:tcBorders>
              <w:top w:val="nil"/>
              <w:left w:val="nil"/>
              <w:bottom w:val="nil"/>
              <w:right w:val="nil"/>
            </w:tcBorders>
            <w:vAlign w:val="bottom"/>
          </w:tcPr>
          <w:p w14:paraId="26C070BD" w14:textId="77777777" w:rsidR="000F7C00" w:rsidRPr="003927E6" w:rsidRDefault="000F7C00" w:rsidP="00211FA3">
            <w:pPr>
              <w:spacing w:after="0" w:line="240" w:lineRule="auto"/>
              <w:rPr>
                <w:rFonts w:ascii="Times New Roman" w:eastAsia="Times New Roman" w:hAnsi="Times New Roman" w:cs="Times New Roman"/>
                <w:sz w:val="24"/>
                <w:szCs w:val="24"/>
              </w:rPr>
            </w:pPr>
          </w:p>
        </w:tc>
      </w:tr>
      <w:tr w:rsidR="000F7C00" w:rsidRPr="00CD452F" w14:paraId="337F5ABD" w14:textId="77777777" w:rsidTr="00211FA3">
        <w:trPr>
          <w:trHeight w:val="290"/>
          <w:jc w:val="center"/>
        </w:trPr>
        <w:tc>
          <w:tcPr>
            <w:tcW w:w="4484" w:type="dxa"/>
            <w:tcBorders>
              <w:top w:val="nil"/>
              <w:left w:val="nil"/>
              <w:bottom w:val="nil"/>
              <w:right w:val="nil"/>
            </w:tcBorders>
            <w:shd w:val="clear" w:color="auto" w:fill="auto"/>
            <w:noWrap/>
            <w:vAlign w:val="bottom"/>
            <w:hideMark/>
          </w:tcPr>
          <w:p w14:paraId="209F4323" w14:textId="77777777" w:rsidR="000F7C00" w:rsidRPr="003927E6" w:rsidRDefault="000F7C00" w:rsidP="00211FA3">
            <w:pPr>
              <w:spacing w:after="0" w:line="240" w:lineRule="auto"/>
              <w:rPr>
                <w:rFonts w:ascii="Times New Roman" w:eastAsia="Times New Roman" w:hAnsi="Times New Roman" w:cs="Times New Roman"/>
                <w:color w:val="000000"/>
                <w:sz w:val="24"/>
                <w:szCs w:val="24"/>
              </w:rPr>
            </w:pPr>
            <w:r w:rsidRPr="00A44656">
              <w:rPr>
                <w:rFonts w:ascii="Times New Roman" w:eastAsia="Times New Roman" w:hAnsi="Times New Roman" w:cs="Times New Roman"/>
                <w:b/>
                <w:color w:val="000000"/>
                <w:sz w:val="24"/>
                <w:szCs w:val="24"/>
              </w:rPr>
              <w:t>Panel A: Observed</w:t>
            </w:r>
          </w:p>
        </w:tc>
        <w:tc>
          <w:tcPr>
            <w:tcW w:w="1233" w:type="dxa"/>
            <w:gridSpan w:val="2"/>
            <w:tcBorders>
              <w:top w:val="nil"/>
              <w:left w:val="nil"/>
              <w:bottom w:val="nil"/>
              <w:right w:val="nil"/>
            </w:tcBorders>
            <w:shd w:val="clear" w:color="auto" w:fill="auto"/>
            <w:noWrap/>
            <w:vAlign w:val="bottom"/>
            <w:hideMark/>
          </w:tcPr>
          <w:p w14:paraId="18DF61D8" w14:textId="77777777" w:rsidR="000F7C00" w:rsidRPr="003927E6" w:rsidRDefault="000F7C00" w:rsidP="00211FA3">
            <w:pPr>
              <w:spacing w:after="0" w:line="240" w:lineRule="auto"/>
              <w:rPr>
                <w:rFonts w:ascii="Times New Roman" w:eastAsia="Times New Roman" w:hAnsi="Times New Roman" w:cs="Times New Roman"/>
                <w:color w:val="000000"/>
                <w:sz w:val="24"/>
                <w:szCs w:val="24"/>
              </w:rPr>
            </w:pPr>
          </w:p>
        </w:tc>
        <w:tc>
          <w:tcPr>
            <w:tcW w:w="1235" w:type="dxa"/>
            <w:gridSpan w:val="2"/>
            <w:tcBorders>
              <w:top w:val="nil"/>
              <w:left w:val="nil"/>
              <w:bottom w:val="nil"/>
              <w:right w:val="nil"/>
            </w:tcBorders>
            <w:shd w:val="clear" w:color="auto" w:fill="auto"/>
            <w:noWrap/>
            <w:vAlign w:val="bottom"/>
            <w:hideMark/>
          </w:tcPr>
          <w:p w14:paraId="4CB963ED" w14:textId="77777777" w:rsidR="000F7C00" w:rsidRPr="003927E6" w:rsidRDefault="000F7C00" w:rsidP="00211FA3">
            <w:pPr>
              <w:spacing w:after="0" w:line="240" w:lineRule="auto"/>
              <w:rPr>
                <w:rFonts w:ascii="Times New Roman" w:eastAsia="Times New Roman" w:hAnsi="Times New Roman" w:cs="Times New Roman"/>
                <w:sz w:val="24"/>
                <w:szCs w:val="24"/>
              </w:rPr>
            </w:pPr>
          </w:p>
        </w:tc>
        <w:tc>
          <w:tcPr>
            <w:tcW w:w="1231" w:type="dxa"/>
            <w:gridSpan w:val="2"/>
            <w:tcBorders>
              <w:top w:val="nil"/>
              <w:left w:val="nil"/>
              <w:bottom w:val="nil"/>
              <w:right w:val="nil"/>
            </w:tcBorders>
            <w:shd w:val="clear" w:color="auto" w:fill="auto"/>
            <w:vAlign w:val="bottom"/>
            <w:hideMark/>
          </w:tcPr>
          <w:p w14:paraId="7F3B475F" w14:textId="77777777" w:rsidR="000F7C00" w:rsidRPr="003927E6" w:rsidRDefault="000F7C00" w:rsidP="00211FA3">
            <w:pPr>
              <w:spacing w:after="0" w:line="240" w:lineRule="auto"/>
              <w:rPr>
                <w:rFonts w:ascii="Times New Roman" w:eastAsia="Times New Roman" w:hAnsi="Times New Roman" w:cs="Times New Roman"/>
                <w:sz w:val="24"/>
                <w:szCs w:val="24"/>
              </w:rPr>
            </w:pPr>
          </w:p>
        </w:tc>
        <w:tc>
          <w:tcPr>
            <w:tcW w:w="1233" w:type="dxa"/>
            <w:tcBorders>
              <w:top w:val="nil"/>
              <w:left w:val="nil"/>
              <w:bottom w:val="nil"/>
              <w:right w:val="nil"/>
            </w:tcBorders>
            <w:shd w:val="clear" w:color="auto" w:fill="auto"/>
            <w:vAlign w:val="bottom"/>
            <w:hideMark/>
          </w:tcPr>
          <w:p w14:paraId="202E0445" w14:textId="77777777" w:rsidR="000F7C00" w:rsidRPr="003927E6" w:rsidRDefault="000F7C00" w:rsidP="00211FA3">
            <w:pPr>
              <w:spacing w:after="0" w:line="240" w:lineRule="auto"/>
              <w:rPr>
                <w:rFonts w:ascii="Times New Roman" w:eastAsia="Times New Roman" w:hAnsi="Times New Roman" w:cs="Times New Roman"/>
                <w:sz w:val="24"/>
                <w:szCs w:val="24"/>
              </w:rPr>
            </w:pPr>
          </w:p>
        </w:tc>
        <w:tc>
          <w:tcPr>
            <w:tcW w:w="2132" w:type="dxa"/>
            <w:tcBorders>
              <w:top w:val="nil"/>
              <w:left w:val="nil"/>
              <w:bottom w:val="nil"/>
              <w:right w:val="nil"/>
            </w:tcBorders>
            <w:shd w:val="clear" w:color="auto" w:fill="auto"/>
            <w:vAlign w:val="bottom"/>
            <w:hideMark/>
          </w:tcPr>
          <w:p w14:paraId="20668F2E" w14:textId="77777777" w:rsidR="000F7C00" w:rsidRPr="003927E6" w:rsidRDefault="000F7C00" w:rsidP="00211FA3">
            <w:pPr>
              <w:spacing w:after="0" w:line="240" w:lineRule="auto"/>
              <w:rPr>
                <w:rFonts w:ascii="Times New Roman" w:eastAsia="Times New Roman" w:hAnsi="Times New Roman" w:cs="Times New Roman"/>
                <w:sz w:val="24"/>
                <w:szCs w:val="24"/>
              </w:rPr>
            </w:pPr>
          </w:p>
        </w:tc>
        <w:tc>
          <w:tcPr>
            <w:tcW w:w="2132" w:type="dxa"/>
            <w:tcBorders>
              <w:top w:val="nil"/>
              <w:left w:val="nil"/>
              <w:bottom w:val="nil"/>
              <w:right w:val="nil"/>
            </w:tcBorders>
            <w:vAlign w:val="bottom"/>
          </w:tcPr>
          <w:p w14:paraId="198F8F76" w14:textId="77777777" w:rsidR="000F7C00" w:rsidRPr="003927E6" w:rsidRDefault="000F7C00" w:rsidP="00211FA3">
            <w:pPr>
              <w:spacing w:after="0" w:line="240" w:lineRule="auto"/>
              <w:rPr>
                <w:rFonts w:ascii="Times New Roman" w:eastAsia="Times New Roman" w:hAnsi="Times New Roman" w:cs="Times New Roman"/>
                <w:sz w:val="24"/>
                <w:szCs w:val="24"/>
              </w:rPr>
            </w:pPr>
          </w:p>
        </w:tc>
      </w:tr>
      <w:tr w:rsidR="000F7C00" w:rsidRPr="00CD452F" w14:paraId="6EDA5236" w14:textId="77777777" w:rsidTr="00211FA3">
        <w:trPr>
          <w:trHeight w:val="290"/>
          <w:jc w:val="center"/>
        </w:trPr>
        <w:tc>
          <w:tcPr>
            <w:tcW w:w="4484" w:type="dxa"/>
            <w:tcBorders>
              <w:top w:val="nil"/>
              <w:left w:val="nil"/>
              <w:bottom w:val="nil"/>
              <w:right w:val="nil"/>
            </w:tcBorders>
            <w:shd w:val="clear" w:color="auto" w:fill="auto"/>
            <w:noWrap/>
            <w:vAlign w:val="bottom"/>
            <w:hideMark/>
          </w:tcPr>
          <w:p w14:paraId="37C8D954" w14:textId="77777777" w:rsidR="000F7C00" w:rsidRPr="003927E6" w:rsidRDefault="000F7C00" w:rsidP="00211F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3927E6">
              <w:rPr>
                <w:rFonts w:ascii="Times New Roman" w:eastAsia="Times New Roman" w:hAnsi="Times New Roman" w:cs="Times New Roman"/>
                <w:color w:val="000000"/>
                <w:sz w:val="24"/>
                <w:szCs w:val="24"/>
              </w:rPr>
              <w:t>1979</w:t>
            </w:r>
          </w:p>
        </w:tc>
        <w:tc>
          <w:tcPr>
            <w:tcW w:w="1233" w:type="dxa"/>
            <w:gridSpan w:val="2"/>
            <w:tcBorders>
              <w:top w:val="nil"/>
              <w:left w:val="nil"/>
              <w:bottom w:val="nil"/>
              <w:right w:val="nil"/>
            </w:tcBorders>
            <w:shd w:val="clear" w:color="auto" w:fill="auto"/>
            <w:noWrap/>
            <w:vAlign w:val="bottom"/>
            <w:hideMark/>
          </w:tcPr>
          <w:p w14:paraId="2F464F19" w14:textId="77777777" w:rsidR="000F7C00" w:rsidRPr="003927E6" w:rsidRDefault="000F7C00" w:rsidP="00211FA3">
            <w:pPr>
              <w:spacing w:after="0" w:line="240" w:lineRule="auto"/>
              <w:jc w:val="right"/>
              <w:rPr>
                <w:rFonts w:ascii="Times New Roman" w:eastAsia="Times New Roman" w:hAnsi="Times New Roman" w:cs="Times New Roman"/>
                <w:color w:val="000000"/>
                <w:sz w:val="24"/>
                <w:szCs w:val="24"/>
              </w:rPr>
            </w:pPr>
            <w:r w:rsidRPr="003927E6">
              <w:rPr>
                <w:rFonts w:ascii="Times New Roman" w:eastAsia="Times New Roman" w:hAnsi="Times New Roman" w:cs="Times New Roman"/>
                <w:color w:val="000000"/>
                <w:sz w:val="24"/>
                <w:szCs w:val="24"/>
              </w:rPr>
              <w:t>1.71</w:t>
            </w:r>
          </w:p>
        </w:tc>
        <w:tc>
          <w:tcPr>
            <w:tcW w:w="1235" w:type="dxa"/>
            <w:gridSpan w:val="2"/>
            <w:tcBorders>
              <w:top w:val="nil"/>
              <w:left w:val="nil"/>
              <w:bottom w:val="nil"/>
              <w:right w:val="nil"/>
            </w:tcBorders>
            <w:shd w:val="clear" w:color="auto" w:fill="auto"/>
            <w:noWrap/>
            <w:vAlign w:val="bottom"/>
            <w:hideMark/>
          </w:tcPr>
          <w:p w14:paraId="375534EB" w14:textId="77777777" w:rsidR="000F7C00" w:rsidRPr="003927E6" w:rsidRDefault="000F7C00" w:rsidP="00211FA3">
            <w:pPr>
              <w:spacing w:after="0" w:line="240" w:lineRule="auto"/>
              <w:jc w:val="right"/>
              <w:rPr>
                <w:rFonts w:ascii="Times New Roman" w:eastAsia="Times New Roman" w:hAnsi="Times New Roman" w:cs="Times New Roman"/>
                <w:color w:val="000000"/>
                <w:sz w:val="24"/>
                <w:szCs w:val="24"/>
              </w:rPr>
            </w:pPr>
            <w:r w:rsidRPr="003927E6">
              <w:rPr>
                <w:rFonts w:ascii="Times New Roman" w:eastAsia="Times New Roman" w:hAnsi="Times New Roman" w:cs="Times New Roman"/>
                <w:color w:val="000000"/>
                <w:sz w:val="24"/>
                <w:szCs w:val="24"/>
              </w:rPr>
              <w:t>3.33</w:t>
            </w:r>
          </w:p>
        </w:tc>
        <w:tc>
          <w:tcPr>
            <w:tcW w:w="1231" w:type="dxa"/>
            <w:gridSpan w:val="2"/>
            <w:tcBorders>
              <w:top w:val="nil"/>
              <w:left w:val="nil"/>
              <w:bottom w:val="nil"/>
              <w:right w:val="nil"/>
            </w:tcBorders>
            <w:shd w:val="clear" w:color="auto" w:fill="auto"/>
            <w:noWrap/>
            <w:vAlign w:val="bottom"/>
            <w:hideMark/>
          </w:tcPr>
          <w:p w14:paraId="5ADBF61C" w14:textId="77777777" w:rsidR="000F7C00" w:rsidRPr="003927E6" w:rsidRDefault="000F7C00" w:rsidP="00211FA3">
            <w:pPr>
              <w:spacing w:after="0" w:line="240" w:lineRule="auto"/>
              <w:jc w:val="right"/>
              <w:rPr>
                <w:rFonts w:ascii="Times New Roman" w:eastAsia="Times New Roman" w:hAnsi="Times New Roman" w:cs="Times New Roman"/>
                <w:color w:val="000000"/>
                <w:sz w:val="24"/>
                <w:szCs w:val="24"/>
              </w:rPr>
            </w:pPr>
            <w:r w:rsidRPr="003927E6">
              <w:rPr>
                <w:rFonts w:ascii="Times New Roman" w:eastAsia="Times New Roman" w:hAnsi="Times New Roman" w:cs="Times New Roman"/>
                <w:color w:val="000000"/>
                <w:sz w:val="24"/>
                <w:szCs w:val="24"/>
              </w:rPr>
              <w:t>1.95</w:t>
            </w:r>
          </w:p>
        </w:tc>
        <w:tc>
          <w:tcPr>
            <w:tcW w:w="1233" w:type="dxa"/>
            <w:tcBorders>
              <w:top w:val="nil"/>
              <w:left w:val="nil"/>
              <w:bottom w:val="nil"/>
              <w:right w:val="nil"/>
            </w:tcBorders>
            <w:shd w:val="clear" w:color="auto" w:fill="auto"/>
            <w:noWrap/>
            <w:vAlign w:val="bottom"/>
            <w:hideMark/>
          </w:tcPr>
          <w:p w14:paraId="437D68BD" w14:textId="6B7A3482" w:rsidR="000F7C00" w:rsidRPr="003927E6" w:rsidRDefault="00CB5C43" w:rsidP="00211FA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2.17</w:t>
            </w:r>
          </w:p>
        </w:tc>
        <w:tc>
          <w:tcPr>
            <w:tcW w:w="2132" w:type="dxa"/>
            <w:tcBorders>
              <w:top w:val="nil"/>
              <w:left w:val="nil"/>
              <w:bottom w:val="nil"/>
              <w:right w:val="nil"/>
            </w:tcBorders>
            <w:shd w:val="clear" w:color="auto" w:fill="auto"/>
            <w:noWrap/>
            <w:vAlign w:val="bottom"/>
            <w:hideMark/>
          </w:tcPr>
          <w:p w14:paraId="3D27E8F6" w14:textId="77777777" w:rsidR="000F7C00" w:rsidRPr="003927E6" w:rsidRDefault="000F7C00" w:rsidP="00211FA3">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0.381</w:t>
            </w:r>
          </w:p>
        </w:tc>
        <w:tc>
          <w:tcPr>
            <w:tcW w:w="2132" w:type="dxa"/>
            <w:tcBorders>
              <w:top w:val="nil"/>
              <w:left w:val="nil"/>
              <w:bottom w:val="nil"/>
              <w:right w:val="nil"/>
            </w:tcBorders>
            <w:vAlign w:val="bottom"/>
          </w:tcPr>
          <w:p w14:paraId="3F20F817" w14:textId="77777777" w:rsidR="000F7C00" w:rsidRPr="003927E6" w:rsidRDefault="000F7C00" w:rsidP="00211FA3">
            <w:pPr>
              <w:spacing w:after="0" w:line="240" w:lineRule="auto"/>
              <w:jc w:val="center"/>
              <w:rPr>
                <w:rFonts w:ascii="Times New Roman" w:hAnsi="Times New Roman" w:cs="Times New Roman"/>
                <w:color w:val="000000"/>
                <w:sz w:val="24"/>
                <w:szCs w:val="24"/>
              </w:rPr>
            </w:pPr>
            <w:r w:rsidRPr="003927E6">
              <w:rPr>
                <w:rFonts w:ascii="Times New Roman" w:hAnsi="Times New Roman" w:cs="Times New Roman"/>
                <w:color w:val="000000"/>
                <w:sz w:val="24"/>
                <w:szCs w:val="24"/>
              </w:rPr>
              <w:t>92.48%</w:t>
            </w:r>
          </w:p>
        </w:tc>
      </w:tr>
      <w:tr w:rsidR="000F7C00" w:rsidRPr="00CD452F" w14:paraId="6B367187" w14:textId="77777777" w:rsidTr="00211FA3">
        <w:trPr>
          <w:trHeight w:val="290"/>
          <w:jc w:val="center"/>
        </w:trPr>
        <w:tc>
          <w:tcPr>
            <w:tcW w:w="4484" w:type="dxa"/>
            <w:tcBorders>
              <w:top w:val="nil"/>
              <w:left w:val="nil"/>
              <w:bottom w:val="nil"/>
              <w:right w:val="nil"/>
            </w:tcBorders>
            <w:shd w:val="clear" w:color="auto" w:fill="auto"/>
            <w:noWrap/>
            <w:vAlign w:val="bottom"/>
            <w:hideMark/>
          </w:tcPr>
          <w:p w14:paraId="4890C2E0" w14:textId="77777777" w:rsidR="000F7C00" w:rsidRPr="003927E6" w:rsidRDefault="000F7C00" w:rsidP="00211F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3927E6">
              <w:rPr>
                <w:rFonts w:ascii="Times New Roman" w:eastAsia="Times New Roman" w:hAnsi="Times New Roman" w:cs="Times New Roman"/>
                <w:color w:val="000000"/>
                <w:sz w:val="24"/>
                <w:szCs w:val="24"/>
              </w:rPr>
              <w:t>2018</w:t>
            </w:r>
          </w:p>
        </w:tc>
        <w:tc>
          <w:tcPr>
            <w:tcW w:w="1233" w:type="dxa"/>
            <w:gridSpan w:val="2"/>
            <w:tcBorders>
              <w:top w:val="nil"/>
              <w:left w:val="nil"/>
              <w:bottom w:val="nil"/>
              <w:right w:val="nil"/>
            </w:tcBorders>
            <w:shd w:val="clear" w:color="auto" w:fill="auto"/>
            <w:noWrap/>
            <w:vAlign w:val="bottom"/>
            <w:hideMark/>
          </w:tcPr>
          <w:p w14:paraId="7490DC85" w14:textId="77777777" w:rsidR="000F7C00" w:rsidRPr="003927E6" w:rsidRDefault="000F7C00" w:rsidP="00211FA3">
            <w:pPr>
              <w:spacing w:after="0" w:line="240" w:lineRule="auto"/>
              <w:jc w:val="right"/>
              <w:rPr>
                <w:rFonts w:ascii="Times New Roman" w:eastAsia="Times New Roman" w:hAnsi="Times New Roman" w:cs="Times New Roman"/>
                <w:color w:val="000000"/>
                <w:sz w:val="24"/>
                <w:szCs w:val="24"/>
              </w:rPr>
            </w:pPr>
            <w:r w:rsidRPr="003927E6">
              <w:rPr>
                <w:rFonts w:ascii="Times New Roman" w:eastAsia="Times New Roman" w:hAnsi="Times New Roman" w:cs="Times New Roman"/>
                <w:color w:val="000000"/>
                <w:sz w:val="24"/>
                <w:szCs w:val="24"/>
              </w:rPr>
              <w:t>2.18</w:t>
            </w:r>
          </w:p>
        </w:tc>
        <w:tc>
          <w:tcPr>
            <w:tcW w:w="1235" w:type="dxa"/>
            <w:gridSpan w:val="2"/>
            <w:tcBorders>
              <w:top w:val="nil"/>
              <w:left w:val="nil"/>
              <w:bottom w:val="nil"/>
              <w:right w:val="nil"/>
            </w:tcBorders>
            <w:shd w:val="clear" w:color="auto" w:fill="auto"/>
            <w:noWrap/>
            <w:vAlign w:val="bottom"/>
            <w:hideMark/>
          </w:tcPr>
          <w:p w14:paraId="7468CFA7" w14:textId="77777777" w:rsidR="000F7C00" w:rsidRPr="003927E6" w:rsidRDefault="000F7C00" w:rsidP="00211FA3">
            <w:pPr>
              <w:spacing w:after="0" w:line="240" w:lineRule="auto"/>
              <w:jc w:val="right"/>
              <w:rPr>
                <w:rFonts w:ascii="Times New Roman" w:eastAsia="Times New Roman" w:hAnsi="Times New Roman" w:cs="Times New Roman"/>
                <w:color w:val="000000"/>
                <w:sz w:val="24"/>
                <w:szCs w:val="24"/>
              </w:rPr>
            </w:pPr>
            <w:r w:rsidRPr="003927E6">
              <w:rPr>
                <w:rFonts w:ascii="Times New Roman" w:eastAsia="Times New Roman" w:hAnsi="Times New Roman" w:cs="Times New Roman"/>
                <w:color w:val="000000"/>
                <w:sz w:val="24"/>
                <w:szCs w:val="24"/>
              </w:rPr>
              <w:t>6.00</w:t>
            </w:r>
          </w:p>
        </w:tc>
        <w:tc>
          <w:tcPr>
            <w:tcW w:w="1231" w:type="dxa"/>
            <w:gridSpan w:val="2"/>
            <w:tcBorders>
              <w:top w:val="nil"/>
              <w:left w:val="nil"/>
              <w:bottom w:val="nil"/>
              <w:right w:val="nil"/>
            </w:tcBorders>
            <w:shd w:val="clear" w:color="auto" w:fill="auto"/>
            <w:noWrap/>
            <w:vAlign w:val="bottom"/>
            <w:hideMark/>
          </w:tcPr>
          <w:p w14:paraId="73F324E3" w14:textId="77777777" w:rsidR="000F7C00" w:rsidRPr="003927E6" w:rsidRDefault="000F7C00" w:rsidP="00211FA3">
            <w:pPr>
              <w:spacing w:after="0" w:line="240" w:lineRule="auto"/>
              <w:jc w:val="right"/>
              <w:rPr>
                <w:rFonts w:ascii="Times New Roman" w:eastAsia="Times New Roman" w:hAnsi="Times New Roman" w:cs="Times New Roman"/>
                <w:color w:val="000000"/>
                <w:sz w:val="24"/>
                <w:szCs w:val="24"/>
              </w:rPr>
            </w:pPr>
            <w:r w:rsidRPr="003927E6">
              <w:rPr>
                <w:rFonts w:ascii="Times New Roman" w:eastAsia="Times New Roman" w:hAnsi="Times New Roman" w:cs="Times New Roman"/>
                <w:color w:val="000000"/>
                <w:sz w:val="24"/>
                <w:szCs w:val="24"/>
              </w:rPr>
              <w:t>2.75</w:t>
            </w:r>
          </w:p>
        </w:tc>
        <w:tc>
          <w:tcPr>
            <w:tcW w:w="1233" w:type="dxa"/>
            <w:tcBorders>
              <w:top w:val="nil"/>
              <w:left w:val="nil"/>
              <w:bottom w:val="nil"/>
              <w:right w:val="nil"/>
            </w:tcBorders>
            <w:shd w:val="clear" w:color="auto" w:fill="auto"/>
            <w:noWrap/>
            <w:vAlign w:val="bottom"/>
            <w:hideMark/>
          </w:tcPr>
          <w:p w14:paraId="51DB15F8" w14:textId="77777777" w:rsidR="000F7C00" w:rsidRPr="003927E6" w:rsidRDefault="000F7C00" w:rsidP="00211FA3">
            <w:pPr>
              <w:spacing w:after="0" w:line="240" w:lineRule="auto"/>
              <w:jc w:val="right"/>
              <w:rPr>
                <w:rFonts w:ascii="Times New Roman" w:eastAsia="Times New Roman" w:hAnsi="Times New Roman" w:cs="Times New Roman"/>
                <w:color w:val="000000"/>
                <w:sz w:val="24"/>
                <w:szCs w:val="24"/>
              </w:rPr>
            </w:pPr>
            <w:r w:rsidRPr="003927E6">
              <w:rPr>
                <w:rFonts w:ascii="Times New Roman" w:eastAsia="Times New Roman" w:hAnsi="Times New Roman" w:cs="Times New Roman"/>
                <w:color w:val="000000"/>
                <w:sz w:val="24"/>
                <w:szCs w:val="24"/>
              </w:rPr>
              <w:t>2.58</w:t>
            </w:r>
          </w:p>
        </w:tc>
        <w:tc>
          <w:tcPr>
            <w:tcW w:w="2132" w:type="dxa"/>
            <w:tcBorders>
              <w:top w:val="nil"/>
              <w:left w:val="nil"/>
              <w:bottom w:val="nil"/>
              <w:right w:val="nil"/>
            </w:tcBorders>
            <w:shd w:val="clear" w:color="auto" w:fill="auto"/>
            <w:noWrap/>
            <w:vAlign w:val="bottom"/>
            <w:hideMark/>
          </w:tcPr>
          <w:p w14:paraId="5CE6AE86" w14:textId="77777777" w:rsidR="000F7C00" w:rsidRPr="003927E6" w:rsidRDefault="000F7C00" w:rsidP="00211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0.517</w:t>
            </w:r>
          </w:p>
        </w:tc>
        <w:tc>
          <w:tcPr>
            <w:tcW w:w="2132" w:type="dxa"/>
            <w:tcBorders>
              <w:top w:val="nil"/>
              <w:left w:val="nil"/>
              <w:bottom w:val="nil"/>
              <w:right w:val="nil"/>
            </w:tcBorders>
            <w:vAlign w:val="bottom"/>
          </w:tcPr>
          <w:p w14:paraId="18C225F2" w14:textId="77777777" w:rsidR="000F7C00" w:rsidRPr="003927E6" w:rsidRDefault="000F7C00" w:rsidP="00211FA3">
            <w:pPr>
              <w:spacing w:after="0" w:line="240" w:lineRule="auto"/>
              <w:jc w:val="center"/>
              <w:rPr>
                <w:rFonts w:ascii="Times New Roman" w:hAnsi="Times New Roman" w:cs="Times New Roman"/>
                <w:color w:val="000000"/>
                <w:sz w:val="24"/>
                <w:szCs w:val="24"/>
              </w:rPr>
            </w:pPr>
            <w:r w:rsidRPr="003927E6">
              <w:rPr>
                <w:rFonts w:ascii="Times New Roman" w:hAnsi="Times New Roman" w:cs="Times New Roman"/>
                <w:color w:val="000000"/>
                <w:sz w:val="24"/>
                <w:szCs w:val="24"/>
              </w:rPr>
              <w:t>85.41%</w:t>
            </w:r>
          </w:p>
        </w:tc>
      </w:tr>
      <w:tr w:rsidR="000F7C00" w:rsidRPr="00CD452F" w14:paraId="46632E98" w14:textId="77777777" w:rsidTr="00211FA3">
        <w:trPr>
          <w:trHeight w:val="170"/>
          <w:jc w:val="center"/>
        </w:trPr>
        <w:tc>
          <w:tcPr>
            <w:tcW w:w="4484" w:type="dxa"/>
            <w:tcBorders>
              <w:top w:val="nil"/>
              <w:left w:val="nil"/>
              <w:bottom w:val="nil"/>
              <w:right w:val="nil"/>
            </w:tcBorders>
            <w:shd w:val="clear" w:color="auto" w:fill="auto"/>
            <w:noWrap/>
            <w:vAlign w:val="bottom"/>
            <w:hideMark/>
          </w:tcPr>
          <w:p w14:paraId="22AE4639" w14:textId="77777777" w:rsidR="000F7C00" w:rsidRPr="003927E6" w:rsidRDefault="000F7C00" w:rsidP="00211FA3">
            <w:pPr>
              <w:spacing w:after="0" w:line="240" w:lineRule="auto"/>
              <w:jc w:val="right"/>
              <w:rPr>
                <w:rFonts w:ascii="Times New Roman" w:eastAsia="Times New Roman" w:hAnsi="Times New Roman" w:cs="Times New Roman"/>
                <w:color w:val="000000"/>
                <w:sz w:val="24"/>
                <w:szCs w:val="24"/>
              </w:rPr>
            </w:pPr>
          </w:p>
        </w:tc>
        <w:tc>
          <w:tcPr>
            <w:tcW w:w="1233" w:type="dxa"/>
            <w:gridSpan w:val="2"/>
            <w:tcBorders>
              <w:top w:val="nil"/>
              <w:left w:val="nil"/>
              <w:bottom w:val="nil"/>
              <w:right w:val="nil"/>
            </w:tcBorders>
            <w:shd w:val="clear" w:color="auto" w:fill="auto"/>
            <w:noWrap/>
            <w:vAlign w:val="bottom"/>
            <w:hideMark/>
          </w:tcPr>
          <w:p w14:paraId="12C8CE0E" w14:textId="77777777" w:rsidR="000F7C00" w:rsidRPr="003927E6" w:rsidRDefault="000F7C00" w:rsidP="00211FA3">
            <w:pPr>
              <w:spacing w:after="0" w:line="240" w:lineRule="auto"/>
              <w:rPr>
                <w:rFonts w:ascii="Times New Roman" w:eastAsia="Times New Roman" w:hAnsi="Times New Roman" w:cs="Times New Roman"/>
                <w:sz w:val="24"/>
                <w:szCs w:val="24"/>
              </w:rPr>
            </w:pPr>
          </w:p>
        </w:tc>
        <w:tc>
          <w:tcPr>
            <w:tcW w:w="1235" w:type="dxa"/>
            <w:gridSpan w:val="2"/>
            <w:tcBorders>
              <w:top w:val="nil"/>
              <w:left w:val="nil"/>
              <w:bottom w:val="nil"/>
              <w:right w:val="nil"/>
            </w:tcBorders>
            <w:shd w:val="clear" w:color="auto" w:fill="auto"/>
            <w:noWrap/>
            <w:vAlign w:val="bottom"/>
            <w:hideMark/>
          </w:tcPr>
          <w:p w14:paraId="3C959E4B" w14:textId="77777777" w:rsidR="000F7C00" w:rsidRPr="003927E6" w:rsidRDefault="000F7C00" w:rsidP="00211FA3">
            <w:pPr>
              <w:spacing w:after="0" w:line="240" w:lineRule="auto"/>
              <w:rPr>
                <w:rFonts w:ascii="Times New Roman" w:eastAsia="Times New Roman" w:hAnsi="Times New Roman" w:cs="Times New Roman"/>
                <w:sz w:val="24"/>
                <w:szCs w:val="24"/>
              </w:rPr>
            </w:pPr>
          </w:p>
        </w:tc>
        <w:tc>
          <w:tcPr>
            <w:tcW w:w="1231" w:type="dxa"/>
            <w:gridSpan w:val="2"/>
            <w:tcBorders>
              <w:top w:val="nil"/>
              <w:left w:val="nil"/>
              <w:bottom w:val="nil"/>
              <w:right w:val="nil"/>
            </w:tcBorders>
            <w:shd w:val="clear" w:color="auto" w:fill="auto"/>
            <w:noWrap/>
            <w:vAlign w:val="bottom"/>
            <w:hideMark/>
          </w:tcPr>
          <w:p w14:paraId="52E6675B" w14:textId="77777777" w:rsidR="000F7C00" w:rsidRPr="003927E6" w:rsidRDefault="000F7C00" w:rsidP="00211FA3">
            <w:pPr>
              <w:spacing w:after="0" w:line="240" w:lineRule="auto"/>
              <w:rPr>
                <w:rFonts w:ascii="Times New Roman" w:eastAsia="Times New Roman" w:hAnsi="Times New Roman" w:cs="Times New Roman"/>
                <w:sz w:val="24"/>
                <w:szCs w:val="24"/>
              </w:rPr>
            </w:pPr>
          </w:p>
        </w:tc>
        <w:tc>
          <w:tcPr>
            <w:tcW w:w="1233" w:type="dxa"/>
            <w:tcBorders>
              <w:top w:val="nil"/>
              <w:left w:val="nil"/>
              <w:bottom w:val="nil"/>
              <w:right w:val="nil"/>
            </w:tcBorders>
            <w:shd w:val="clear" w:color="auto" w:fill="auto"/>
            <w:noWrap/>
            <w:vAlign w:val="bottom"/>
            <w:hideMark/>
          </w:tcPr>
          <w:p w14:paraId="6C17EC2B" w14:textId="77777777" w:rsidR="000F7C00" w:rsidRPr="003927E6" w:rsidRDefault="000F7C00" w:rsidP="00211FA3">
            <w:pPr>
              <w:spacing w:after="0" w:line="240" w:lineRule="auto"/>
              <w:rPr>
                <w:rFonts w:ascii="Times New Roman" w:eastAsia="Times New Roman" w:hAnsi="Times New Roman" w:cs="Times New Roman"/>
                <w:sz w:val="24"/>
                <w:szCs w:val="24"/>
              </w:rPr>
            </w:pPr>
          </w:p>
        </w:tc>
        <w:tc>
          <w:tcPr>
            <w:tcW w:w="2132" w:type="dxa"/>
            <w:tcBorders>
              <w:top w:val="nil"/>
              <w:left w:val="nil"/>
              <w:bottom w:val="nil"/>
              <w:right w:val="nil"/>
            </w:tcBorders>
            <w:shd w:val="clear" w:color="auto" w:fill="auto"/>
            <w:noWrap/>
            <w:vAlign w:val="bottom"/>
            <w:hideMark/>
          </w:tcPr>
          <w:p w14:paraId="6CCC0CDA" w14:textId="77777777" w:rsidR="000F7C00" w:rsidRPr="003927E6" w:rsidRDefault="000F7C00" w:rsidP="00211FA3">
            <w:pPr>
              <w:spacing w:after="0" w:line="240" w:lineRule="auto"/>
              <w:jc w:val="center"/>
              <w:rPr>
                <w:rFonts w:ascii="Times New Roman" w:eastAsia="Times New Roman" w:hAnsi="Times New Roman" w:cs="Times New Roman"/>
                <w:sz w:val="24"/>
                <w:szCs w:val="24"/>
              </w:rPr>
            </w:pPr>
          </w:p>
        </w:tc>
        <w:tc>
          <w:tcPr>
            <w:tcW w:w="2132" w:type="dxa"/>
            <w:tcBorders>
              <w:top w:val="nil"/>
              <w:left w:val="nil"/>
              <w:bottom w:val="nil"/>
              <w:right w:val="nil"/>
            </w:tcBorders>
            <w:vAlign w:val="bottom"/>
          </w:tcPr>
          <w:p w14:paraId="6B16024D" w14:textId="77777777" w:rsidR="000F7C00" w:rsidRPr="003927E6" w:rsidRDefault="000F7C00" w:rsidP="00211FA3">
            <w:pPr>
              <w:spacing w:after="0" w:line="240" w:lineRule="auto"/>
              <w:jc w:val="center"/>
              <w:rPr>
                <w:rFonts w:ascii="Times New Roman" w:eastAsia="Times New Roman" w:hAnsi="Times New Roman" w:cs="Times New Roman"/>
                <w:sz w:val="24"/>
                <w:szCs w:val="24"/>
              </w:rPr>
            </w:pPr>
          </w:p>
        </w:tc>
      </w:tr>
      <w:tr w:rsidR="000F7C00" w:rsidRPr="00CD452F" w14:paraId="7D30C3DF" w14:textId="77777777" w:rsidTr="00211FA3">
        <w:trPr>
          <w:trHeight w:val="576"/>
          <w:jc w:val="center"/>
        </w:trPr>
        <w:tc>
          <w:tcPr>
            <w:tcW w:w="4484" w:type="dxa"/>
            <w:tcBorders>
              <w:top w:val="nil"/>
              <w:left w:val="nil"/>
              <w:bottom w:val="nil"/>
              <w:right w:val="nil"/>
            </w:tcBorders>
            <w:shd w:val="clear" w:color="auto" w:fill="auto"/>
            <w:noWrap/>
            <w:vAlign w:val="bottom"/>
            <w:hideMark/>
          </w:tcPr>
          <w:p w14:paraId="65FF6957" w14:textId="77777777" w:rsidR="000F7C00" w:rsidRPr="003927E6" w:rsidRDefault="000F7C00" w:rsidP="00211FA3">
            <w:pPr>
              <w:spacing w:after="0" w:line="240" w:lineRule="auto"/>
              <w:rPr>
                <w:rFonts w:ascii="Times New Roman" w:eastAsia="Times New Roman" w:hAnsi="Times New Roman" w:cs="Times New Roman"/>
                <w:color w:val="000000"/>
                <w:sz w:val="24"/>
                <w:szCs w:val="24"/>
              </w:rPr>
            </w:pPr>
            <w:r w:rsidRPr="00A44656">
              <w:rPr>
                <w:rFonts w:ascii="Times New Roman" w:eastAsia="Times New Roman" w:hAnsi="Times New Roman" w:cs="Times New Roman"/>
                <w:b/>
                <w:color w:val="000000"/>
                <w:sz w:val="24"/>
                <w:szCs w:val="24"/>
              </w:rPr>
              <w:t>Panel B: 2018 Simulations</w:t>
            </w:r>
          </w:p>
        </w:tc>
        <w:tc>
          <w:tcPr>
            <w:tcW w:w="1233" w:type="dxa"/>
            <w:gridSpan w:val="2"/>
            <w:tcBorders>
              <w:top w:val="nil"/>
              <w:left w:val="nil"/>
              <w:bottom w:val="nil"/>
              <w:right w:val="nil"/>
            </w:tcBorders>
            <w:shd w:val="clear" w:color="auto" w:fill="auto"/>
            <w:noWrap/>
            <w:vAlign w:val="bottom"/>
            <w:hideMark/>
          </w:tcPr>
          <w:p w14:paraId="12790C92" w14:textId="77777777" w:rsidR="000F7C00" w:rsidRPr="003927E6" w:rsidRDefault="000F7C00" w:rsidP="00211FA3">
            <w:pPr>
              <w:spacing w:after="0" w:line="240" w:lineRule="auto"/>
              <w:rPr>
                <w:rFonts w:ascii="Times New Roman" w:eastAsia="Times New Roman" w:hAnsi="Times New Roman" w:cs="Times New Roman"/>
                <w:color w:val="000000"/>
                <w:sz w:val="24"/>
                <w:szCs w:val="24"/>
              </w:rPr>
            </w:pPr>
          </w:p>
        </w:tc>
        <w:tc>
          <w:tcPr>
            <w:tcW w:w="1235" w:type="dxa"/>
            <w:gridSpan w:val="2"/>
            <w:tcBorders>
              <w:top w:val="nil"/>
              <w:left w:val="nil"/>
              <w:bottom w:val="nil"/>
              <w:right w:val="nil"/>
            </w:tcBorders>
            <w:shd w:val="clear" w:color="auto" w:fill="auto"/>
            <w:noWrap/>
            <w:vAlign w:val="bottom"/>
            <w:hideMark/>
          </w:tcPr>
          <w:p w14:paraId="48E3E7F9" w14:textId="77777777" w:rsidR="000F7C00" w:rsidRPr="003927E6" w:rsidRDefault="000F7C00" w:rsidP="00211FA3">
            <w:pPr>
              <w:spacing w:after="0" w:line="240" w:lineRule="auto"/>
              <w:rPr>
                <w:rFonts w:ascii="Times New Roman" w:eastAsia="Times New Roman" w:hAnsi="Times New Roman" w:cs="Times New Roman"/>
                <w:sz w:val="24"/>
                <w:szCs w:val="24"/>
              </w:rPr>
            </w:pPr>
          </w:p>
        </w:tc>
        <w:tc>
          <w:tcPr>
            <w:tcW w:w="1231" w:type="dxa"/>
            <w:gridSpan w:val="2"/>
            <w:tcBorders>
              <w:top w:val="nil"/>
              <w:left w:val="nil"/>
              <w:bottom w:val="nil"/>
              <w:right w:val="nil"/>
            </w:tcBorders>
            <w:shd w:val="clear" w:color="auto" w:fill="auto"/>
            <w:noWrap/>
            <w:vAlign w:val="bottom"/>
            <w:hideMark/>
          </w:tcPr>
          <w:p w14:paraId="6A47185E" w14:textId="77777777" w:rsidR="000F7C00" w:rsidRPr="003927E6" w:rsidRDefault="000F7C00" w:rsidP="00211FA3">
            <w:pPr>
              <w:spacing w:after="0" w:line="240" w:lineRule="auto"/>
              <w:rPr>
                <w:rFonts w:ascii="Times New Roman" w:eastAsia="Times New Roman" w:hAnsi="Times New Roman" w:cs="Times New Roman"/>
                <w:sz w:val="24"/>
                <w:szCs w:val="24"/>
              </w:rPr>
            </w:pPr>
          </w:p>
        </w:tc>
        <w:tc>
          <w:tcPr>
            <w:tcW w:w="1233" w:type="dxa"/>
            <w:tcBorders>
              <w:top w:val="nil"/>
              <w:left w:val="nil"/>
              <w:bottom w:val="nil"/>
              <w:right w:val="nil"/>
            </w:tcBorders>
            <w:shd w:val="clear" w:color="auto" w:fill="auto"/>
            <w:noWrap/>
            <w:vAlign w:val="bottom"/>
            <w:hideMark/>
          </w:tcPr>
          <w:p w14:paraId="447EB0FB" w14:textId="77777777" w:rsidR="000F7C00" w:rsidRPr="003927E6" w:rsidRDefault="000F7C00" w:rsidP="00211FA3">
            <w:pPr>
              <w:spacing w:after="0" w:line="240" w:lineRule="auto"/>
              <w:rPr>
                <w:rFonts w:ascii="Times New Roman" w:eastAsia="Times New Roman" w:hAnsi="Times New Roman" w:cs="Times New Roman"/>
                <w:sz w:val="24"/>
                <w:szCs w:val="24"/>
              </w:rPr>
            </w:pPr>
          </w:p>
        </w:tc>
        <w:tc>
          <w:tcPr>
            <w:tcW w:w="2132" w:type="dxa"/>
            <w:tcBorders>
              <w:top w:val="nil"/>
              <w:left w:val="nil"/>
              <w:bottom w:val="nil"/>
              <w:right w:val="nil"/>
            </w:tcBorders>
            <w:shd w:val="clear" w:color="auto" w:fill="auto"/>
            <w:noWrap/>
            <w:vAlign w:val="bottom"/>
            <w:hideMark/>
          </w:tcPr>
          <w:p w14:paraId="4B585710" w14:textId="77777777" w:rsidR="000F7C00" w:rsidRPr="003927E6" w:rsidRDefault="000F7C00" w:rsidP="00211FA3">
            <w:pPr>
              <w:spacing w:after="0" w:line="240" w:lineRule="auto"/>
              <w:jc w:val="center"/>
              <w:rPr>
                <w:rFonts w:ascii="Times New Roman" w:eastAsia="Times New Roman" w:hAnsi="Times New Roman" w:cs="Times New Roman"/>
                <w:sz w:val="24"/>
                <w:szCs w:val="24"/>
              </w:rPr>
            </w:pPr>
          </w:p>
        </w:tc>
        <w:tc>
          <w:tcPr>
            <w:tcW w:w="2132" w:type="dxa"/>
            <w:tcBorders>
              <w:top w:val="nil"/>
              <w:left w:val="nil"/>
              <w:bottom w:val="nil"/>
              <w:right w:val="nil"/>
            </w:tcBorders>
            <w:vAlign w:val="bottom"/>
          </w:tcPr>
          <w:p w14:paraId="1710DE67" w14:textId="77777777" w:rsidR="000F7C00" w:rsidRPr="003927E6" w:rsidRDefault="000F7C00" w:rsidP="00211FA3">
            <w:pPr>
              <w:spacing w:after="0" w:line="240" w:lineRule="auto"/>
              <w:jc w:val="center"/>
              <w:rPr>
                <w:rFonts w:ascii="Times New Roman" w:eastAsia="Times New Roman" w:hAnsi="Times New Roman" w:cs="Times New Roman"/>
                <w:sz w:val="24"/>
                <w:szCs w:val="24"/>
              </w:rPr>
            </w:pPr>
          </w:p>
        </w:tc>
      </w:tr>
      <w:tr w:rsidR="000F7C00" w:rsidRPr="00CD452F" w14:paraId="009BF026" w14:textId="77777777" w:rsidTr="00211FA3">
        <w:trPr>
          <w:trHeight w:val="290"/>
          <w:jc w:val="center"/>
        </w:trPr>
        <w:tc>
          <w:tcPr>
            <w:tcW w:w="4484" w:type="dxa"/>
            <w:tcBorders>
              <w:top w:val="nil"/>
              <w:left w:val="nil"/>
              <w:bottom w:val="nil"/>
              <w:right w:val="nil"/>
            </w:tcBorders>
            <w:shd w:val="clear" w:color="auto" w:fill="auto"/>
            <w:noWrap/>
            <w:vAlign w:val="bottom"/>
            <w:hideMark/>
          </w:tcPr>
          <w:p w14:paraId="52D73387" w14:textId="77777777" w:rsidR="000F7C00" w:rsidRPr="003927E6" w:rsidRDefault="000F7C00" w:rsidP="00211FA3">
            <w:pPr>
              <w:spacing w:after="0" w:line="240" w:lineRule="auto"/>
              <w:rPr>
                <w:rFonts w:ascii="Times New Roman" w:eastAsia="Times New Roman" w:hAnsi="Times New Roman" w:cs="Times New Roman"/>
                <w:i/>
                <w:color w:val="000000"/>
                <w:sz w:val="24"/>
                <w:szCs w:val="24"/>
              </w:rPr>
            </w:pPr>
            <w:r w:rsidRPr="003927E6">
              <w:rPr>
                <w:rFonts w:ascii="Times New Roman" w:eastAsia="Times New Roman" w:hAnsi="Times New Roman" w:cs="Times New Roman"/>
                <w:color w:val="000000"/>
                <w:sz w:val="24"/>
                <w:szCs w:val="24"/>
              </w:rPr>
              <w:t xml:space="preserve">     </w:t>
            </w:r>
            <w:r w:rsidRPr="003927E6">
              <w:rPr>
                <w:rFonts w:ascii="Times New Roman" w:eastAsia="Times New Roman" w:hAnsi="Times New Roman" w:cs="Times New Roman"/>
                <w:i/>
                <w:color w:val="000000"/>
                <w:sz w:val="24"/>
                <w:szCs w:val="24"/>
              </w:rPr>
              <w:t>Distribution Method</w:t>
            </w:r>
          </w:p>
        </w:tc>
        <w:tc>
          <w:tcPr>
            <w:tcW w:w="1233" w:type="dxa"/>
            <w:gridSpan w:val="2"/>
            <w:tcBorders>
              <w:top w:val="nil"/>
              <w:left w:val="nil"/>
              <w:bottom w:val="nil"/>
              <w:right w:val="nil"/>
            </w:tcBorders>
            <w:shd w:val="clear" w:color="auto" w:fill="auto"/>
            <w:noWrap/>
            <w:vAlign w:val="bottom"/>
            <w:hideMark/>
          </w:tcPr>
          <w:p w14:paraId="24E0A314" w14:textId="77777777" w:rsidR="000F7C00" w:rsidRPr="003927E6" w:rsidRDefault="000F7C00" w:rsidP="00211FA3">
            <w:pPr>
              <w:spacing w:after="0" w:line="240" w:lineRule="auto"/>
              <w:rPr>
                <w:rFonts w:ascii="Times New Roman" w:eastAsia="Times New Roman" w:hAnsi="Times New Roman" w:cs="Times New Roman"/>
                <w:color w:val="000000"/>
                <w:sz w:val="24"/>
                <w:szCs w:val="24"/>
              </w:rPr>
            </w:pPr>
          </w:p>
        </w:tc>
        <w:tc>
          <w:tcPr>
            <w:tcW w:w="1235" w:type="dxa"/>
            <w:gridSpan w:val="2"/>
            <w:tcBorders>
              <w:top w:val="nil"/>
              <w:left w:val="nil"/>
              <w:bottom w:val="nil"/>
              <w:right w:val="nil"/>
            </w:tcBorders>
            <w:shd w:val="clear" w:color="auto" w:fill="auto"/>
            <w:noWrap/>
            <w:vAlign w:val="bottom"/>
            <w:hideMark/>
          </w:tcPr>
          <w:p w14:paraId="58DCF25B" w14:textId="77777777" w:rsidR="000F7C00" w:rsidRPr="003927E6" w:rsidRDefault="000F7C00" w:rsidP="00211FA3">
            <w:pPr>
              <w:spacing w:after="0" w:line="240" w:lineRule="auto"/>
              <w:rPr>
                <w:rFonts w:ascii="Times New Roman" w:eastAsia="Times New Roman" w:hAnsi="Times New Roman" w:cs="Times New Roman"/>
                <w:sz w:val="24"/>
                <w:szCs w:val="24"/>
              </w:rPr>
            </w:pPr>
          </w:p>
        </w:tc>
        <w:tc>
          <w:tcPr>
            <w:tcW w:w="1231" w:type="dxa"/>
            <w:gridSpan w:val="2"/>
            <w:tcBorders>
              <w:top w:val="nil"/>
              <w:left w:val="nil"/>
              <w:bottom w:val="nil"/>
              <w:right w:val="nil"/>
            </w:tcBorders>
            <w:shd w:val="clear" w:color="auto" w:fill="auto"/>
            <w:noWrap/>
            <w:vAlign w:val="bottom"/>
            <w:hideMark/>
          </w:tcPr>
          <w:p w14:paraId="2F4A80D3" w14:textId="77777777" w:rsidR="000F7C00" w:rsidRPr="003927E6" w:rsidRDefault="000F7C00" w:rsidP="00211FA3">
            <w:pPr>
              <w:spacing w:after="0" w:line="240" w:lineRule="auto"/>
              <w:rPr>
                <w:rFonts w:ascii="Times New Roman" w:eastAsia="Times New Roman" w:hAnsi="Times New Roman" w:cs="Times New Roman"/>
                <w:sz w:val="24"/>
                <w:szCs w:val="24"/>
              </w:rPr>
            </w:pPr>
          </w:p>
        </w:tc>
        <w:tc>
          <w:tcPr>
            <w:tcW w:w="1233" w:type="dxa"/>
            <w:tcBorders>
              <w:top w:val="nil"/>
              <w:left w:val="nil"/>
              <w:bottom w:val="nil"/>
              <w:right w:val="nil"/>
            </w:tcBorders>
            <w:shd w:val="clear" w:color="auto" w:fill="auto"/>
            <w:noWrap/>
            <w:vAlign w:val="bottom"/>
            <w:hideMark/>
          </w:tcPr>
          <w:p w14:paraId="583CEA7B" w14:textId="77777777" w:rsidR="000F7C00" w:rsidRPr="003927E6" w:rsidRDefault="000F7C00" w:rsidP="00211FA3">
            <w:pPr>
              <w:spacing w:after="0" w:line="240" w:lineRule="auto"/>
              <w:rPr>
                <w:rFonts w:ascii="Times New Roman" w:eastAsia="Times New Roman" w:hAnsi="Times New Roman" w:cs="Times New Roman"/>
                <w:sz w:val="24"/>
                <w:szCs w:val="24"/>
              </w:rPr>
            </w:pPr>
          </w:p>
        </w:tc>
        <w:tc>
          <w:tcPr>
            <w:tcW w:w="2132" w:type="dxa"/>
            <w:tcBorders>
              <w:top w:val="nil"/>
              <w:left w:val="nil"/>
              <w:bottom w:val="nil"/>
              <w:right w:val="nil"/>
            </w:tcBorders>
            <w:shd w:val="clear" w:color="auto" w:fill="auto"/>
            <w:noWrap/>
            <w:vAlign w:val="bottom"/>
            <w:hideMark/>
          </w:tcPr>
          <w:p w14:paraId="33FC43A1" w14:textId="77777777" w:rsidR="000F7C00" w:rsidRPr="003927E6" w:rsidRDefault="000F7C00" w:rsidP="00211FA3">
            <w:pPr>
              <w:spacing w:after="0" w:line="240" w:lineRule="auto"/>
              <w:jc w:val="center"/>
              <w:rPr>
                <w:rFonts w:ascii="Times New Roman" w:eastAsia="Times New Roman" w:hAnsi="Times New Roman" w:cs="Times New Roman"/>
                <w:sz w:val="24"/>
                <w:szCs w:val="24"/>
              </w:rPr>
            </w:pPr>
          </w:p>
        </w:tc>
        <w:tc>
          <w:tcPr>
            <w:tcW w:w="2132" w:type="dxa"/>
            <w:tcBorders>
              <w:top w:val="nil"/>
              <w:left w:val="nil"/>
              <w:bottom w:val="nil"/>
              <w:right w:val="nil"/>
            </w:tcBorders>
            <w:vAlign w:val="bottom"/>
          </w:tcPr>
          <w:p w14:paraId="6FBB543F" w14:textId="77777777" w:rsidR="000F7C00" w:rsidRPr="003927E6" w:rsidRDefault="000F7C00" w:rsidP="00211FA3">
            <w:pPr>
              <w:spacing w:after="0" w:line="240" w:lineRule="auto"/>
              <w:jc w:val="center"/>
              <w:rPr>
                <w:rFonts w:ascii="Times New Roman" w:eastAsia="Times New Roman" w:hAnsi="Times New Roman" w:cs="Times New Roman"/>
                <w:sz w:val="24"/>
                <w:szCs w:val="24"/>
              </w:rPr>
            </w:pPr>
          </w:p>
        </w:tc>
      </w:tr>
      <w:tr w:rsidR="00605E2F" w:rsidRPr="00CD452F" w14:paraId="758AFDBF" w14:textId="77777777" w:rsidTr="00E84823">
        <w:trPr>
          <w:trHeight w:val="290"/>
          <w:jc w:val="center"/>
        </w:trPr>
        <w:tc>
          <w:tcPr>
            <w:tcW w:w="4484" w:type="dxa"/>
            <w:tcBorders>
              <w:top w:val="nil"/>
              <w:left w:val="nil"/>
              <w:bottom w:val="nil"/>
              <w:right w:val="nil"/>
            </w:tcBorders>
            <w:shd w:val="clear" w:color="auto" w:fill="auto"/>
            <w:noWrap/>
            <w:vAlign w:val="bottom"/>
            <w:hideMark/>
          </w:tcPr>
          <w:p w14:paraId="79588DA2" w14:textId="77777777" w:rsidR="00605E2F" w:rsidRPr="003927E6" w:rsidRDefault="00605E2F" w:rsidP="00605E2F">
            <w:pPr>
              <w:spacing w:after="0" w:line="240" w:lineRule="auto"/>
              <w:rPr>
                <w:rFonts w:ascii="Times New Roman" w:eastAsia="Times New Roman" w:hAnsi="Times New Roman" w:cs="Times New Roman"/>
                <w:color w:val="000000"/>
                <w:sz w:val="24"/>
                <w:szCs w:val="24"/>
              </w:rPr>
            </w:pPr>
            <w:r w:rsidRPr="00A446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1) R</w:t>
            </w:r>
            <w:r w:rsidRPr="0066434B">
              <w:rPr>
                <w:rFonts w:ascii="Times New Roman" w:eastAsia="Times New Roman" w:hAnsi="Times New Roman" w:cs="Times New Roman"/>
                <w:color w:val="000000"/>
                <w:sz w:val="24"/>
                <w:szCs w:val="24"/>
              </w:rPr>
              <w:t xml:space="preserve">aise BA </w:t>
            </w:r>
            <w:r>
              <w:rPr>
                <w:rFonts w:ascii="Times New Roman" w:eastAsia="Times New Roman" w:hAnsi="Times New Roman" w:cs="Times New Roman"/>
                <w:color w:val="000000"/>
                <w:sz w:val="24"/>
                <w:szCs w:val="24"/>
              </w:rPr>
              <w:t xml:space="preserve">share </w:t>
            </w:r>
            <w:r w:rsidRPr="0066434B">
              <w:rPr>
                <w:rFonts w:ascii="Times New Roman" w:eastAsia="Times New Roman" w:hAnsi="Times New Roman" w:cs="Times New Roman"/>
                <w:color w:val="000000"/>
                <w:sz w:val="24"/>
                <w:szCs w:val="24"/>
              </w:rPr>
              <w:t>to 50%</w:t>
            </w:r>
          </w:p>
        </w:tc>
        <w:tc>
          <w:tcPr>
            <w:tcW w:w="1233" w:type="dxa"/>
            <w:gridSpan w:val="2"/>
            <w:tcBorders>
              <w:top w:val="nil"/>
              <w:left w:val="nil"/>
              <w:bottom w:val="nil"/>
              <w:right w:val="nil"/>
            </w:tcBorders>
            <w:shd w:val="clear" w:color="auto" w:fill="auto"/>
            <w:noWrap/>
            <w:vAlign w:val="bottom"/>
            <w:hideMark/>
          </w:tcPr>
          <w:p w14:paraId="553E8A05" w14:textId="50C7EF4A" w:rsidR="00605E2F" w:rsidRPr="00D84883" w:rsidRDefault="00605E2F" w:rsidP="00605E2F">
            <w:pPr>
              <w:spacing w:after="0" w:line="240" w:lineRule="auto"/>
              <w:jc w:val="right"/>
              <w:rPr>
                <w:rFonts w:ascii="Times New Roman" w:eastAsia="Times New Roman" w:hAnsi="Times New Roman" w:cs="Times New Roman"/>
                <w:color w:val="000000"/>
                <w:sz w:val="24"/>
                <w:szCs w:val="24"/>
              </w:rPr>
            </w:pPr>
            <w:r w:rsidRPr="00D84883">
              <w:rPr>
                <w:rFonts w:ascii="Times New Roman" w:hAnsi="Times New Roman" w:cs="Times New Roman"/>
                <w:color w:val="000000"/>
                <w:sz w:val="24"/>
                <w:szCs w:val="24"/>
              </w:rPr>
              <w:t>2.00</w:t>
            </w:r>
          </w:p>
        </w:tc>
        <w:tc>
          <w:tcPr>
            <w:tcW w:w="1235" w:type="dxa"/>
            <w:gridSpan w:val="2"/>
            <w:tcBorders>
              <w:top w:val="nil"/>
              <w:left w:val="nil"/>
              <w:bottom w:val="nil"/>
              <w:right w:val="nil"/>
            </w:tcBorders>
            <w:shd w:val="clear" w:color="auto" w:fill="auto"/>
            <w:noWrap/>
            <w:vAlign w:val="bottom"/>
            <w:hideMark/>
          </w:tcPr>
          <w:p w14:paraId="5B41C518" w14:textId="5827F60D" w:rsidR="00605E2F" w:rsidRPr="00D84883" w:rsidRDefault="00605E2F" w:rsidP="00605E2F">
            <w:pPr>
              <w:spacing w:after="0" w:line="240" w:lineRule="auto"/>
              <w:jc w:val="right"/>
              <w:rPr>
                <w:rFonts w:ascii="Times New Roman" w:eastAsia="Times New Roman" w:hAnsi="Times New Roman" w:cs="Times New Roman"/>
                <w:color w:val="000000"/>
                <w:sz w:val="24"/>
                <w:szCs w:val="24"/>
              </w:rPr>
            </w:pPr>
            <w:r w:rsidRPr="00D84883">
              <w:rPr>
                <w:rFonts w:ascii="Times New Roman" w:hAnsi="Times New Roman" w:cs="Times New Roman"/>
                <w:color w:val="000000"/>
                <w:sz w:val="24"/>
                <w:szCs w:val="24"/>
              </w:rPr>
              <w:t>5.34</w:t>
            </w:r>
          </w:p>
        </w:tc>
        <w:tc>
          <w:tcPr>
            <w:tcW w:w="1231" w:type="dxa"/>
            <w:gridSpan w:val="2"/>
            <w:tcBorders>
              <w:top w:val="nil"/>
              <w:left w:val="nil"/>
              <w:bottom w:val="nil"/>
              <w:right w:val="nil"/>
            </w:tcBorders>
            <w:shd w:val="clear" w:color="auto" w:fill="auto"/>
            <w:noWrap/>
            <w:vAlign w:val="bottom"/>
            <w:hideMark/>
          </w:tcPr>
          <w:p w14:paraId="05331D69" w14:textId="6812B694" w:rsidR="00605E2F" w:rsidRPr="00D84883" w:rsidRDefault="00605E2F" w:rsidP="00605E2F">
            <w:pPr>
              <w:spacing w:after="0" w:line="240" w:lineRule="auto"/>
              <w:jc w:val="right"/>
              <w:rPr>
                <w:rFonts w:ascii="Times New Roman" w:eastAsia="Times New Roman" w:hAnsi="Times New Roman" w:cs="Times New Roman"/>
                <w:color w:val="000000"/>
                <w:sz w:val="24"/>
                <w:szCs w:val="24"/>
              </w:rPr>
            </w:pPr>
            <w:r w:rsidRPr="00D84883">
              <w:rPr>
                <w:rFonts w:ascii="Times New Roman" w:hAnsi="Times New Roman" w:cs="Times New Roman"/>
                <w:color w:val="000000"/>
                <w:sz w:val="24"/>
                <w:szCs w:val="24"/>
              </w:rPr>
              <w:t>2.67</w:t>
            </w:r>
          </w:p>
        </w:tc>
        <w:tc>
          <w:tcPr>
            <w:tcW w:w="1233" w:type="dxa"/>
            <w:tcBorders>
              <w:top w:val="nil"/>
              <w:left w:val="nil"/>
              <w:bottom w:val="nil"/>
              <w:right w:val="nil"/>
            </w:tcBorders>
            <w:shd w:val="clear" w:color="auto" w:fill="auto"/>
            <w:noWrap/>
            <w:vAlign w:val="bottom"/>
            <w:hideMark/>
          </w:tcPr>
          <w:p w14:paraId="14FC0A02" w14:textId="00713DE0" w:rsidR="00605E2F" w:rsidRPr="00D84883" w:rsidRDefault="00605E2F" w:rsidP="00605E2F">
            <w:pPr>
              <w:spacing w:after="0" w:line="240" w:lineRule="auto"/>
              <w:jc w:val="right"/>
              <w:rPr>
                <w:rFonts w:ascii="Times New Roman" w:eastAsia="Times New Roman" w:hAnsi="Times New Roman" w:cs="Times New Roman"/>
                <w:color w:val="000000"/>
                <w:sz w:val="24"/>
                <w:szCs w:val="24"/>
              </w:rPr>
            </w:pPr>
            <w:r w:rsidRPr="00D84883">
              <w:rPr>
                <w:rFonts w:ascii="Times New Roman" w:hAnsi="Times New Roman" w:cs="Times New Roman"/>
                <w:color w:val="000000"/>
                <w:sz w:val="24"/>
                <w:szCs w:val="24"/>
              </w:rPr>
              <w:t>2.77</w:t>
            </w:r>
          </w:p>
        </w:tc>
        <w:tc>
          <w:tcPr>
            <w:tcW w:w="2132" w:type="dxa"/>
            <w:tcBorders>
              <w:top w:val="nil"/>
              <w:left w:val="nil"/>
              <w:bottom w:val="nil"/>
              <w:right w:val="nil"/>
            </w:tcBorders>
            <w:shd w:val="clear" w:color="auto" w:fill="auto"/>
            <w:noWrap/>
            <w:vAlign w:val="bottom"/>
            <w:hideMark/>
          </w:tcPr>
          <w:p w14:paraId="24189F6F" w14:textId="4C87F294" w:rsidR="00605E2F" w:rsidRPr="00D84883" w:rsidRDefault="00605E2F" w:rsidP="00605E2F">
            <w:pPr>
              <w:spacing w:after="0" w:line="240" w:lineRule="auto"/>
              <w:jc w:val="center"/>
              <w:rPr>
                <w:rFonts w:ascii="Times New Roman" w:eastAsia="Times New Roman" w:hAnsi="Times New Roman" w:cs="Times New Roman"/>
                <w:color w:val="000000"/>
                <w:sz w:val="24"/>
                <w:szCs w:val="24"/>
              </w:rPr>
            </w:pPr>
            <w:r w:rsidRPr="00D84883">
              <w:rPr>
                <w:rFonts w:ascii="Times New Roman" w:hAnsi="Times New Roman" w:cs="Times New Roman"/>
                <w:color w:val="000000"/>
                <w:sz w:val="24"/>
                <w:szCs w:val="24"/>
              </w:rPr>
              <w:t>0.503</w:t>
            </w:r>
          </w:p>
        </w:tc>
        <w:tc>
          <w:tcPr>
            <w:tcW w:w="2132" w:type="dxa"/>
            <w:tcBorders>
              <w:top w:val="nil"/>
              <w:left w:val="nil"/>
              <w:bottom w:val="nil"/>
              <w:right w:val="nil"/>
            </w:tcBorders>
            <w:vAlign w:val="center"/>
          </w:tcPr>
          <w:p w14:paraId="5FA91B59" w14:textId="2B7602B0" w:rsidR="00605E2F" w:rsidRPr="00AD23B4" w:rsidRDefault="00605E2F" w:rsidP="00605E2F">
            <w:pPr>
              <w:spacing w:after="0" w:line="240" w:lineRule="auto"/>
              <w:jc w:val="center"/>
              <w:rPr>
                <w:rFonts w:ascii="Times New Roman" w:hAnsi="Times New Roman" w:cs="Times New Roman"/>
                <w:color w:val="000000"/>
                <w:sz w:val="24"/>
                <w:szCs w:val="24"/>
              </w:rPr>
            </w:pPr>
            <w:r w:rsidRPr="004B26C9">
              <w:rPr>
                <w:rFonts w:ascii="Times New Roman" w:hAnsi="Times New Roman" w:cs="Times New Roman"/>
                <w:color w:val="000000"/>
                <w:sz w:val="24"/>
                <w:szCs w:val="24"/>
              </w:rPr>
              <w:t>86.71%</w:t>
            </w:r>
          </w:p>
        </w:tc>
      </w:tr>
      <w:tr w:rsidR="00605E2F" w:rsidRPr="00CD452F" w14:paraId="20A45400" w14:textId="77777777" w:rsidTr="00E84823">
        <w:trPr>
          <w:trHeight w:val="290"/>
          <w:jc w:val="center"/>
        </w:trPr>
        <w:tc>
          <w:tcPr>
            <w:tcW w:w="4484" w:type="dxa"/>
            <w:tcBorders>
              <w:top w:val="nil"/>
              <w:left w:val="nil"/>
              <w:bottom w:val="nil"/>
              <w:right w:val="nil"/>
            </w:tcBorders>
            <w:shd w:val="clear" w:color="auto" w:fill="auto"/>
            <w:noWrap/>
            <w:vAlign w:val="bottom"/>
            <w:hideMark/>
          </w:tcPr>
          <w:p w14:paraId="70356F1C" w14:textId="77777777" w:rsidR="00605E2F" w:rsidRPr="003927E6" w:rsidRDefault="00605E2F" w:rsidP="00605E2F">
            <w:pPr>
              <w:spacing w:after="0" w:line="240" w:lineRule="auto"/>
              <w:rPr>
                <w:rFonts w:ascii="Times New Roman" w:eastAsia="Times New Roman" w:hAnsi="Times New Roman" w:cs="Times New Roman"/>
                <w:color w:val="000000"/>
                <w:sz w:val="24"/>
                <w:szCs w:val="24"/>
              </w:rPr>
            </w:pPr>
            <w:r w:rsidRPr="00A446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2) + Raise A</w:t>
            </w:r>
            <w:r w:rsidRPr="0066434B">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share to 15</w:t>
            </w:r>
            <w:r w:rsidRPr="0066434B">
              <w:rPr>
                <w:rFonts w:ascii="Times New Roman" w:eastAsia="Times New Roman" w:hAnsi="Times New Roman" w:cs="Times New Roman"/>
                <w:color w:val="000000"/>
                <w:sz w:val="24"/>
                <w:szCs w:val="24"/>
              </w:rPr>
              <w:t>%</w:t>
            </w:r>
          </w:p>
        </w:tc>
        <w:tc>
          <w:tcPr>
            <w:tcW w:w="1233" w:type="dxa"/>
            <w:gridSpan w:val="2"/>
            <w:tcBorders>
              <w:top w:val="nil"/>
              <w:left w:val="nil"/>
              <w:bottom w:val="nil"/>
              <w:right w:val="nil"/>
            </w:tcBorders>
            <w:shd w:val="clear" w:color="auto" w:fill="auto"/>
            <w:noWrap/>
            <w:vAlign w:val="bottom"/>
            <w:hideMark/>
          </w:tcPr>
          <w:p w14:paraId="4CF48693" w14:textId="2D166008" w:rsidR="00605E2F" w:rsidRPr="00D84883" w:rsidRDefault="00605E2F" w:rsidP="00605E2F">
            <w:pPr>
              <w:spacing w:after="0" w:line="240" w:lineRule="auto"/>
              <w:jc w:val="right"/>
              <w:rPr>
                <w:rFonts w:ascii="Times New Roman" w:eastAsia="Times New Roman" w:hAnsi="Times New Roman" w:cs="Times New Roman"/>
                <w:color w:val="000000"/>
                <w:sz w:val="24"/>
                <w:szCs w:val="24"/>
              </w:rPr>
            </w:pPr>
            <w:r w:rsidRPr="00D84883">
              <w:rPr>
                <w:rFonts w:ascii="Times New Roman" w:hAnsi="Times New Roman" w:cs="Times New Roman"/>
                <w:color w:val="000000"/>
                <w:sz w:val="24"/>
                <w:szCs w:val="24"/>
              </w:rPr>
              <w:t>2.04</w:t>
            </w:r>
          </w:p>
        </w:tc>
        <w:tc>
          <w:tcPr>
            <w:tcW w:w="1235" w:type="dxa"/>
            <w:gridSpan w:val="2"/>
            <w:tcBorders>
              <w:top w:val="nil"/>
              <w:left w:val="nil"/>
              <w:bottom w:val="nil"/>
              <w:right w:val="nil"/>
            </w:tcBorders>
            <w:shd w:val="clear" w:color="auto" w:fill="auto"/>
            <w:noWrap/>
            <w:vAlign w:val="bottom"/>
            <w:hideMark/>
          </w:tcPr>
          <w:p w14:paraId="5BDB838D" w14:textId="0E4406AB" w:rsidR="00605E2F" w:rsidRPr="00D84883" w:rsidRDefault="00605E2F" w:rsidP="00605E2F">
            <w:pPr>
              <w:spacing w:after="0" w:line="240" w:lineRule="auto"/>
              <w:jc w:val="right"/>
              <w:rPr>
                <w:rFonts w:ascii="Times New Roman" w:eastAsia="Times New Roman" w:hAnsi="Times New Roman" w:cs="Times New Roman"/>
                <w:color w:val="000000"/>
                <w:sz w:val="24"/>
                <w:szCs w:val="24"/>
              </w:rPr>
            </w:pPr>
            <w:r w:rsidRPr="00D84883">
              <w:rPr>
                <w:rFonts w:ascii="Times New Roman" w:hAnsi="Times New Roman" w:cs="Times New Roman"/>
                <w:color w:val="000000"/>
                <w:sz w:val="24"/>
                <w:szCs w:val="24"/>
              </w:rPr>
              <w:t>5.36</w:t>
            </w:r>
          </w:p>
        </w:tc>
        <w:tc>
          <w:tcPr>
            <w:tcW w:w="1231" w:type="dxa"/>
            <w:gridSpan w:val="2"/>
            <w:tcBorders>
              <w:top w:val="nil"/>
              <w:left w:val="nil"/>
              <w:bottom w:val="nil"/>
              <w:right w:val="nil"/>
            </w:tcBorders>
            <w:shd w:val="clear" w:color="auto" w:fill="auto"/>
            <w:noWrap/>
            <w:vAlign w:val="bottom"/>
            <w:hideMark/>
          </w:tcPr>
          <w:p w14:paraId="0F52A360" w14:textId="0FB40B30" w:rsidR="00605E2F" w:rsidRPr="00D84883" w:rsidRDefault="00605E2F" w:rsidP="00605E2F">
            <w:pPr>
              <w:spacing w:after="0" w:line="240" w:lineRule="auto"/>
              <w:jc w:val="right"/>
              <w:rPr>
                <w:rFonts w:ascii="Times New Roman" w:eastAsia="Times New Roman" w:hAnsi="Times New Roman" w:cs="Times New Roman"/>
                <w:color w:val="000000"/>
                <w:sz w:val="24"/>
                <w:szCs w:val="24"/>
              </w:rPr>
            </w:pPr>
            <w:r w:rsidRPr="00D84883">
              <w:rPr>
                <w:rFonts w:ascii="Times New Roman" w:hAnsi="Times New Roman" w:cs="Times New Roman"/>
                <w:color w:val="000000"/>
                <w:sz w:val="24"/>
                <w:szCs w:val="24"/>
              </w:rPr>
              <w:t>2.63</w:t>
            </w:r>
          </w:p>
        </w:tc>
        <w:tc>
          <w:tcPr>
            <w:tcW w:w="1233" w:type="dxa"/>
            <w:tcBorders>
              <w:top w:val="nil"/>
              <w:left w:val="nil"/>
              <w:bottom w:val="nil"/>
              <w:right w:val="nil"/>
            </w:tcBorders>
            <w:shd w:val="clear" w:color="auto" w:fill="auto"/>
            <w:noWrap/>
            <w:vAlign w:val="bottom"/>
            <w:hideMark/>
          </w:tcPr>
          <w:p w14:paraId="7052439C" w14:textId="59A3A65A" w:rsidR="00605E2F" w:rsidRPr="00D84883" w:rsidRDefault="00605E2F" w:rsidP="00605E2F">
            <w:pPr>
              <w:spacing w:after="0" w:line="240" w:lineRule="auto"/>
              <w:jc w:val="right"/>
              <w:rPr>
                <w:rFonts w:ascii="Times New Roman" w:eastAsia="Times New Roman" w:hAnsi="Times New Roman" w:cs="Times New Roman"/>
                <w:color w:val="000000"/>
                <w:sz w:val="24"/>
                <w:szCs w:val="24"/>
              </w:rPr>
            </w:pPr>
            <w:r w:rsidRPr="00D84883">
              <w:rPr>
                <w:rFonts w:ascii="Times New Roman" w:hAnsi="Times New Roman" w:cs="Times New Roman"/>
                <w:color w:val="000000"/>
                <w:sz w:val="24"/>
                <w:szCs w:val="24"/>
              </w:rPr>
              <w:t>2.67</w:t>
            </w:r>
          </w:p>
        </w:tc>
        <w:tc>
          <w:tcPr>
            <w:tcW w:w="2132" w:type="dxa"/>
            <w:tcBorders>
              <w:top w:val="nil"/>
              <w:left w:val="nil"/>
              <w:bottom w:val="nil"/>
              <w:right w:val="nil"/>
            </w:tcBorders>
            <w:shd w:val="clear" w:color="auto" w:fill="auto"/>
            <w:noWrap/>
            <w:vAlign w:val="bottom"/>
            <w:hideMark/>
          </w:tcPr>
          <w:p w14:paraId="1EF8982F" w14:textId="6C78CB4C" w:rsidR="00605E2F" w:rsidRPr="00D84883" w:rsidRDefault="00605E2F" w:rsidP="00605E2F">
            <w:pPr>
              <w:spacing w:after="0" w:line="240" w:lineRule="auto"/>
              <w:jc w:val="center"/>
              <w:rPr>
                <w:rFonts w:ascii="Times New Roman" w:eastAsia="Times New Roman" w:hAnsi="Times New Roman" w:cs="Times New Roman"/>
                <w:color w:val="000000"/>
                <w:sz w:val="24"/>
                <w:szCs w:val="24"/>
              </w:rPr>
            </w:pPr>
            <w:r w:rsidRPr="00D84883">
              <w:rPr>
                <w:rFonts w:ascii="Times New Roman" w:hAnsi="Times New Roman" w:cs="Times New Roman"/>
                <w:color w:val="000000"/>
                <w:sz w:val="24"/>
                <w:szCs w:val="24"/>
              </w:rPr>
              <w:t>0.497</w:t>
            </w:r>
          </w:p>
        </w:tc>
        <w:tc>
          <w:tcPr>
            <w:tcW w:w="2132" w:type="dxa"/>
            <w:tcBorders>
              <w:top w:val="nil"/>
              <w:left w:val="nil"/>
              <w:bottom w:val="nil"/>
              <w:right w:val="nil"/>
            </w:tcBorders>
            <w:vAlign w:val="center"/>
          </w:tcPr>
          <w:p w14:paraId="41F2F4C0" w14:textId="2601FFFC" w:rsidR="00605E2F" w:rsidRPr="00AD23B4" w:rsidRDefault="00605E2F" w:rsidP="00605E2F">
            <w:pPr>
              <w:spacing w:after="0" w:line="240" w:lineRule="auto"/>
              <w:jc w:val="center"/>
              <w:rPr>
                <w:rFonts w:ascii="Times New Roman" w:hAnsi="Times New Roman" w:cs="Times New Roman"/>
                <w:color w:val="000000"/>
                <w:sz w:val="24"/>
                <w:szCs w:val="24"/>
              </w:rPr>
            </w:pPr>
            <w:r w:rsidRPr="004B26C9">
              <w:rPr>
                <w:rFonts w:ascii="Times New Roman" w:hAnsi="Times New Roman" w:cs="Times New Roman"/>
                <w:color w:val="000000"/>
                <w:sz w:val="24"/>
                <w:szCs w:val="24"/>
              </w:rPr>
              <w:t>86.90%</w:t>
            </w:r>
          </w:p>
        </w:tc>
      </w:tr>
      <w:tr w:rsidR="00605E2F" w:rsidRPr="00CD452F" w14:paraId="1188CF36" w14:textId="77777777" w:rsidTr="00E84823">
        <w:trPr>
          <w:trHeight w:val="290"/>
          <w:jc w:val="center"/>
        </w:trPr>
        <w:tc>
          <w:tcPr>
            <w:tcW w:w="4484" w:type="dxa"/>
            <w:tcBorders>
              <w:top w:val="nil"/>
              <w:left w:val="nil"/>
              <w:bottom w:val="nil"/>
              <w:right w:val="nil"/>
            </w:tcBorders>
            <w:shd w:val="clear" w:color="auto" w:fill="auto"/>
            <w:noWrap/>
            <w:vAlign w:val="bottom"/>
            <w:hideMark/>
          </w:tcPr>
          <w:p w14:paraId="5B374D34" w14:textId="77777777" w:rsidR="00605E2F" w:rsidRPr="003927E6" w:rsidRDefault="00605E2F" w:rsidP="00605E2F">
            <w:pPr>
              <w:spacing w:after="0" w:line="240" w:lineRule="auto"/>
              <w:rPr>
                <w:rFonts w:ascii="Times New Roman" w:eastAsia="Times New Roman" w:hAnsi="Times New Roman" w:cs="Times New Roman"/>
                <w:color w:val="000000"/>
                <w:sz w:val="24"/>
                <w:szCs w:val="24"/>
              </w:rPr>
            </w:pPr>
            <w:r w:rsidRPr="00A446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3) 6</w:t>
            </w:r>
            <w:r w:rsidRPr="0066434B">
              <w:rPr>
                <w:rFonts w:ascii="Times New Roman" w:eastAsia="Times New Roman" w:hAnsi="Times New Roman" w:cs="Times New Roman"/>
                <w:color w:val="000000"/>
                <w:sz w:val="24"/>
                <w:szCs w:val="24"/>
              </w:rPr>
              <w:t xml:space="preserve">0% </w:t>
            </w:r>
            <w:r>
              <w:rPr>
                <w:rFonts w:ascii="Times New Roman" w:eastAsia="Times New Roman" w:hAnsi="Times New Roman" w:cs="Times New Roman"/>
                <w:color w:val="000000"/>
                <w:sz w:val="24"/>
                <w:szCs w:val="24"/>
              </w:rPr>
              <w:t>B</w:t>
            </w:r>
            <w:r w:rsidRPr="0066434B">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share</w:t>
            </w:r>
            <w:r w:rsidRPr="0066434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w:t>
            </w:r>
            <w:r w:rsidRPr="0066434B">
              <w:rPr>
                <w:rFonts w:ascii="Times New Roman" w:eastAsia="Times New Roman" w:hAnsi="Times New Roman" w:cs="Times New Roman"/>
                <w:color w:val="000000"/>
                <w:sz w:val="24"/>
                <w:szCs w:val="24"/>
              </w:rPr>
              <w:t xml:space="preserve">0% </w:t>
            </w:r>
            <w:r>
              <w:rPr>
                <w:rFonts w:ascii="Times New Roman" w:eastAsia="Times New Roman" w:hAnsi="Times New Roman" w:cs="Times New Roman"/>
                <w:color w:val="000000"/>
                <w:sz w:val="24"/>
                <w:szCs w:val="24"/>
              </w:rPr>
              <w:t>A</w:t>
            </w:r>
            <w:r w:rsidRPr="0066434B">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share</w:t>
            </w:r>
          </w:p>
        </w:tc>
        <w:tc>
          <w:tcPr>
            <w:tcW w:w="1233" w:type="dxa"/>
            <w:gridSpan w:val="2"/>
            <w:tcBorders>
              <w:top w:val="nil"/>
              <w:left w:val="nil"/>
              <w:bottom w:val="nil"/>
              <w:right w:val="nil"/>
            </w:tcBorders>
            <w:shd w:val="clear" w:color="auto" w:fill="auto"/>
            <w:noWrap/>
            <w:vAlign w:val="bottom"/>
            <w:hideMark/>
          </w:tcPr>
          <w:p w14:paraId="7399AF7C" w14:textId="5D53EF9F" w:rsidR="00605E2F" w:rsidRPr="00D84883" w:rsidRDefault="00605E2F" w:rsidP="00605E2F">
            <w:pPr>
              <w:spacing w:after="0" w:line="240" w:lineRule="auto"/>
              <w:jc w:val="right"/>
              <w:rPr>
                <w:rFonts w:ascii="Times New Roman" w:eastAsia="Times New Roman" w:hAnsi="Times New Roman" w:cs="Times New Roman"/>
                <w:color w:val="000000"/>
                <w:sz w:val="24"/>
                <w:szCs w:val="24"/>
              </w:rPr>
            </w:pPr>
            <w:r w:rsidRPr="00D84883">
              <w:rPr>
                <w:rFonts w:ascii="Times New Roman" w:hAnsi="Times New Roman" w:cs="Times New Roman"/>
                <w:color w:val="000000"/>
                <w:sz w:val="24"/>
                <w:szCs w:val="24"/>
              </w:rPr>
              <w:t>1.88</w:t>
            </w:r>
          </w:p>
        </w:tc>
        <w:tc>
          <w:tcPr>
            <w:tcW w:w="1235" w:type="dxa"/>
            <w:gridSpan w:val="2"/>
            <w:tcBorders>
              <w:top w:val="nil"/>
              <w:left w:val="nil"/>
              <w:bottom w:val="nil"/>
              <w:right w:val="nil"/>
            </w:tcBorders>
            <w:shd w:val="clear" w:color="auto" w:fill="auto"/>
            <w:noWrap/>
            <w:vAlign w:val="bottom"/>
            <w:hideMark/>
          </w:tcPr>
          <w:p w14:paraId="69EE21F4" w14:textId="7A9ACD4D" w:rsidR="00605E2F" w:rsidRPr="00D84883" w:rsidRDefault="00605E2F" w:rsidP="00605E2F">
            <w:pPr>
              <w:spacing w:after="0" w:line="240" w:lineRule="auto"/>
              <w:jc w:val="right"/>
              <w:rPr>
                <w:rFonts w:ascii="Times New Roman" w:eastAsia="Times New Roman" w:hAnsi="Times New Roman" w:cs="Times New Roman"/>
                <w:color w:val="000000"/>
                <w:sz w:val="24"/>
                <w:szCs w:val="24"/>
              </w:rPr>
            </w:pPr>
            <w:r w:rsidRPr="00D84883">
              <w:rPr>
                <w:rFonts w:ascii="Times New Roman" w:hAnsi="Times New Roman" w:cs="Times New Roman"/>
                <w:color w:val="000000"/>
                <w:sz w:val="24"/>
                <w:szCs w:val="24"/>
              </w:rPr>
              <w:t>4.83</w:t>
            </w:r>
          </w:p>
        </w:tc>
        <w:tc>
          <w:tcPr>
            <w:tcW w:w="1231" w:type="dxa"/>
            <w:gridSpan w:val="2"/>
            <w:tcBorders>
              <w:top w:val="nil"/>
              <w:left w:val="nil"/>
              <w:bottom w:val="nil"/>
              <w:right w:val="nil"/>
            </w:tcBorders>
            <w:shd w:val="clear" w:color="auto" w:fill="auto"/>
            <w:noWrap/>
            <w:vAlign w:val="bottom"/>
            <w:hideMark/>
          </w:tcPr>
          <w:p w14:paraId="6F997BDC" w14:textId="1632B48C" w:rsidR="00605E2F" w:rsidRPr="00D84883" w:rsidRDefault="00605E2F" w:rsidP="00605E2F">
            <w:pPr>
              <w:spacing w:after="0" w:line="240" w:lineRule="auto"/>
              <w:jc w:val="right"/>
              <w:rPr>
                <w:rFonts w:ascii="Times New Roman" w:eastAsia="Times New Roman" w:hAnsi="Times New Roman" w:cs="Times New Roman"/>
                <w:color w:val="000000"/>
                <w:sz w:val="24"/>
                <w:szCs w:val="24"/>
              </w:rPr>
            </w:pPr>
            <w:r w:rsidRPr="00D84883">
              <w:rPr>
                <w:rFonts w:ascii="Times New Roman" w:hAnsi="Times New Roman" w:cs="Times New Roman"/>
                <w:color w:val="000000"/>
                <w:sz w:val="24"/>
                <w:szCs w:val="24"/>
              </w:rPr>
              <w:t>2.57</w:t>
            </w:r>
          </w:p>
        </w:tc>
        <w:tc>
          <w:tcPr>
            <w:tcW w:w="1233" w:type="dxa"/>
            <w:tcBorders>
              <w:top w:val="nil"/>
              <w:left w:val="nil"/>
              <w:bottom w:val="nil"/>
              <w:right w:val="nil"/>
            </w:tcBorders>
            <w:shd w:val="clear" w:color="auto" w:fill="auto"/>
            <w:noWrap/>
            <w:vAlign w:val="bottom"/>
            <w:hideMark/>
          </w:tcPr>
          <w:p w14:paraId="6E31882D" w14:textId="20D44849" w:rsidR="00605E2F" w:rsidRPr="00D84883" w:rsidRDefault="00605E2F" w:rsidP="00605E2F">
            <w:pPr>
              <w:spacing w:after="0" w:line="240" w:lineRule="auto"/>
              <w:jc w:val="right"/>
              <w:rPr>
                <w:rFonts w:ascii="Times New Roman" w:eastAsia="Times New Roman" w:hAnsi="Times New Roman" w:cs="Times New Roman"/>
                <w:color w:val="000000"/>
                <w:sz w:val="24"/>
                <w:szCs w:val="24"/>
              </w:rPr>
            </w:pPr>
            <w:r w:rsidRPr="00D84883">
              <w:rPr>
                <w:rFonts w:ascii="Times New Roman" w:hAnsi="Times New Roman" w:cs="Times New Roman"/>
                <w:color w:val="000000"/>
                <w:sz w:val="24"/>
                <w:szCs w:val="24"/>
              </w:rPr>
              <w:t>2.76</w:t>
            </w:r>
          </w:p>
        </w:tc>
        <w:tc>
          <w:tcPr>
            <w:tcW w:w="2132" w:type="dxa"/>
            <w:tcBorders>
              <w:top w:val="nil"/>
              <w:left w:val="nil"/>
              <w:bottom w:val="nil"/>
              <w:right w:val="nil"/>
            </w:tcBorders>
            <w:shd w:val="clear" w:color="auto" w:fill="auto"/>
            <w:noWrap/>
            <w:vAlign w:val="bottom"/>
            <w:hideMark/>
          </w:tcPr>
          <w:p w14:paraId="7D421DDB" w14:textId="2DE69AC4" w:rsidR="00605E2F" w:rsidRPr="00D84883" w:rsidRDefault="00605E2F" w:rsidP="00605E2F">
            <w:pPr>
              <w:spacing w:after="0" w:line="240" w:lineRule="auto"/>
              <w:jc w:val="center"/>
              <w:rPr>
                <w:rFonts w:ascii="Times New Roman" w:eastAsia="Times New Roman" w:hAnsi="Times New Roman" w:cs="Times New Roman"/>
                <w:color w:val="000000"/>
                <w:sz w:val="24"/>
                <w:szCs w:val="24"/>
              </w:rPr>
            </w:pPr>
            <w:r w:rsidRPr="00D84883">
              <w:rPr>
                <w:rFonts w:ascii="Times New Roman" w:hAnsi="Times New Roman" w:cs="Times New Roman"/>
                <w:color w:val="000000"/>
                <w:sz w:val="24"/>
                <w:szCs w:val="24"/>
              </w:rPr>
              <w:t>0.480</w:t>
            </w:r>
          </w:p>
        </w:tc>
        <w:tc>
          <w:tcPr>
            <w:tcW w:w="2132" w:type="dxa"/>
            <w:tcBorders>
              <w:top w:val="nil"/>
              <w:left w:val="nil"/>
              <w:bottom w:val="nil"/>
              <w:right w:val="nil"/>
            </w:tcBorders>
            <w:vAlign w:val="center"/>
          </w:tcPr>
          <w:p w14:paraId="6C804FF8" w14:textId="52060B3A" w:rsidR="00605E2F" w:rsidRPr="00AD23B4" w:rsidRDefault="00605E2F" w:rsidP="00605E2F">
            <w:pPr>
              <w:spacing w:after="0" w:line="240" w:lineRule="auto"/>
              <w:jc w:val="center"/>
              <w:rPr>
                <w:rFonts w:ascii="Times New Roman" w:hAnsi="Times New Roman" w:cs="Times New Roman"/>
                <w:color w:val="000000"/>
                <w:sz w:val="24"/>
                <w:szCs w:val="24"/>
              </w:rPr>
            </w:pPr>
            <w:r w:rsidRPr="004B26C9">
              <w:rPr>
                <w:rFonts w:ascii="Times New Roman" w:hAnsi="Times New Roman" w:cs="Times New Roman"/>
                <w:color w:val="000000"/>
                <w:sz w:val="24"/>
                <w:szCs w:val="24"/>
              </w:rPr>
              <w:t>88.21%</w:t>
            </w:r>
          </w:p>
        </w:tc>
      </w:tr>
      <w:tr w:rsidR="00AD23B4" w:rsidRPr="00CD452F" w14:paraId="7A18FC26" w14:textId="77777777" w:rsidTr="00211FA3">
        <w:trPr>
          <w:trHeight w:val="432"/>
          <w:jc w:val="center"/>
        </w:trPr>
        <w:tc>
          <w:tcPr>
            <w:tcW w:w="4484" w:type="dxa"/>
            <w:tcBorders>
              <w:top w:val="nil"/>
              <w:left w:val="nil"/>
              <w:bottom w:val="nil"/>
              <w:right w:val="nil"/>
            </w:tcBorders>
            <w:shd w:val="clear" w:color="auto" w:fill="auto"/>
            <w:noWrap/>
            <w:vAlign w:val="bottom"/>
            <w:hideMark/>
          </w:tcPr>
          <w:p w14:paraId="488216AB" w14:textId="77777777" w:rsidR="00AD23B4" w:rsidRPr="003927E6" w:rsidRDefault="00AD23B4" w:rsidP="00AD23B4">
            <w:pPr>
              <w:spacing w:after="0" w:line="240" w:lineRule="auto"/>
              <w:rPr>
                <w:rFonts w:ascii="Times New Roman" w:eastAsia="Times New Roman" w:hAnsi="Times New Roman" w:cs="Times New Roman"/>
                <w:i/>
                <w:color w:val="000000"/>
                <w:sz w:val="24"/>
                <w:szCs w:val="24"/>
              </w:rPr>
            </w:pPr>
            <w:r w:rsidRPr="003927E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3927E6">
              <w:rPr>
                <w:rFonts w:ascii="Times New Roman" w:eastAsia="Times New Roman" w:hAnsi="Times New Roman" w:cs="Times New Roman"/>
                <w:i/>
                <w:color w:val="000000"/>
                <w:sz w:val="24"/>
                <w:szCs w:val="24"/>
              </w:rPr>
              <w:t>Causal Parameter Method</w:t>
            </w:r>
          </w:p>
        </w:tc>
        <w:tc>
          <w:tcPr>
            <w:tcW w:w="1233" w:type="dxa"/>
            <w:gridSpan w:val="2"/>
            <w:tcBorders>
              <w:top w:val="nil"/>
              <w:left w:val="nil"/>
              <w:bottom w:val="nil"/>
              <w:right w:val="nil"/>
            </w:tcBorders>
            <w:shd w:val="clear" w:color="auto" w:fill="auto"/>
            <w:noWrap/>
            <w:vAlign w:val="bottom"/>
            <w:hideMark/>
          </w:tcPr>
          <w:p w14:paraId="41AC85F9" w14:textId="77777777" w:rsidR="00AD23B4" w:rsidRPr="00D84883" w:rsidRDefault="00AD23B4" w:rsidP="00AD23B4">
            <w:pPr>
              <w:spacing w:after="0" w:line="240" w:lineRule="auto"/>
              <w:rPr>
                <w:rFonts w:ascii="Times New Roman" w:eastAsia="Times New Roman" w:hAnsi="Times New Roman" w:cs="Times New Roman"/>
                <w:color w:val="000000"/>
                <w:sz w:val="24"/>
                <w:szCs w:val="24"/>
              </w:rPr>
            </w:pPr>
          </w:p>
        </w:tc>
        <w:tc>
          <w:tcPr>
            <w:tcW w:w="1235" w:type="dxa"/>
            <w:gridSpan w:val="2"/>
            <w:tcBorders>
              <w:top w:val="nil"/>
              <w:left w:val="nil"/>
              <w:bottom w:val="nil"/>
              <w:right w:val="nil"/>
            </w:tcBorders>
            <w:shd w:val="clear" w:color="auto" w:fill="auto"/>
            <w:noWrap/>
            <w:vAlign w:val="bottom"/>
            <w:hideMark/>
          </w:tcPr>
          <w:p w14:paraId="129C71DC" w14:textId="77777777" w:rsidR="00AD23B4" w:rsidRPr="00D84883" w:rsidRDefault="00AD23B4" w:rsidP="00AD23B4">
            <w:pPr>
              <w:spacing w:after="0" w:line="240" w:lineRule="auto"/>
              <w:rPr>
                <w:rFonts w:ascii="Times New Roman" w:eastAsia="Times New Roman" w:hAnsi="Times New Roman" w:cs="Times New Roman"/>
                <w:sz w:val="24"/>
                <w:szCs w:val="24"/>
              </w:rPr>
            </w:pPr>
          </w:p>
        </w:tc>
        <w:tc>
          <w:tcPr>
            <w:tcW w:w="1231" w:type="dxa"/>
            <w:gridSpan w:val="2"/>
            <w:tcBorders>
              <w:top w:val="nil"/>
              <w:left w:val="nil"/>
              <w:bottom w:val="nil"/>
              <w:right w:val="nil"/>
            </w:tcBorders>
            <w:shd w:val="clear" w:color="auto" w:fill="auto"/>
            <w:noWrap/>
            <w:vAlign w:val="bottom"/>
            <w:hideMark/>
          </w:tcPr>
          <w:p w14:paraId="16C8B494" w14:textId="77777777" w:rsidR="00AD23B4" w:rsidRPr="00D84883" w:rsidRDefault="00AD23B4" w:rsidP="00AD23B4">
            <w:pPr>
              <w:spacing w:after="0" w:line="240" w:lineRule="auto"/>
              <w:rPr>
                <w:rFonts w:ascii="Times New Roman" w:eastAsia="Times New Roman" w:hAnsi="Times New Roman" w:cs="Times New Roman"/>
                <w:sz w:val="24"/>
                <w:szCs w:val="24"/>
              </w:rPr>
            </w:pPr>
          </w:p>
        </w:tc>
        <w:tc>
          <w:tcPr>
            <w:tcW w:w="1233" w:type="dxa"/>
            <w:tcBorders>
              <w:top w:val="nil"/>
              <w:left w:val="nil"/>
              <w:bottom w:val="nil"/>
              <w:right w:val="nil"/>
            </w:tcBorders>
            <w:shd w:val="clear" w:color="auto" w:fill="auto"/>
            <w:noWrap/>
            <w:vAlign w:val="bottom"/>
            <w:hideMark/>
          </w:tcPr>
          <w:p w14:paraId="2CC45953" w14:textId="77777777" w:rsidR="00AD23B4" w:rsidRPr="00D84883" w:rsidRDefault="00AD23B4" w:rsidP="00AD23B4">
            <w:pPr>
              <w:spacing w:after="0" w:line="240" w:lineRule="auto"/>
              <w:rPr>
                <w:rFonts w:ascii="Times New Roman" w:eastAsia="Times New Roman" w:hAnsi="Times New Roman" w:cs="Times New Roman"/>
                <w:sz w:val="24"/>
                <w:szCs w:val="24"/>
              </w:rPr>
            </w:pPr>
          </w:p>
        </w:tc>
        <w:tc>
          <w:tcPr>
            <w:tcW w:w="2132" w:type="dxa"/>
            <w:tcBorders>
              <w:top w:val="nil"/>
              <w:left w:val="nil"/>
              <w:bottom w:val="nil"/>
              <w:right w:val="nil"/>
            </w:tcBorders>
            <w:shd w:val="clear" w:color="auto" w:fill="auto"/>
            <w:noWrap/>
            <w:vAlign w:val="bottom"/>
            <w:hideMark/>
          </w:tcPr>
          <w:p w14:paraId="03A38A8A" w14:textId="77777777" w:rsidR="00AD23B4" w:rsidRPr="00D84883" w:rsidRDefault="00AD23B4" w:rsidP="00AD23B4">
            <w:pPr>
              <w:spacing w:after="0" w:line="240" w:lineRule="auto"/>
              <w:jc w:val="center"/>
              <w:rPr>
                <w:rFonts w:ascii="Times New Roman" w:eastAsia="Times New Roman" w:hAnsi="Times New Roman" w:cs="Times New Roman"/>
                <w:sz w:val="24"/>
                <w:szCs w:val="24"/>
              </w:rPr>
            </w:pPr>
          </w:p>
        </w:tc>
        <w:tc>
          <w:tcPr>
            <w:tcW w:w="2132" w:type="dxa"/>
            <w:tcBorders>
              <w:top w:val="nil"/>
              <w:left w:val="nil"/>
              <w:bottom w:val="nil"/>
              <w:right w:val="nil"/>
            </w:tcBorders>
            <w:vAlign w:val="center"/>
          </w:tcPr>
          <w:p w14:paraId="34068B41" w14:textId="77777777" w:rsidR="00AD23B4" w:rsidRPr="00AD23B4" w:rsidRDefault="00AD23B4" w:rsidP="00AD23B4">
            <w:pPr>
              <w:spacing w:after="0" w:line="240" w:lineRule="auto"/>
              <w:jc w:val="center"/>
              <w:rPr>
                <w:rFonts w:ascii="Times New Roman" w:eastAsia="Times New Roman" w:hAnsi="Times New Roman" w:cs="Times New Roman"/>
                <w:sz w:val="24"/>
                <w:szCs w:val="24"/>
              </w:rPr>
            </w:pPr>
          </w:p>
        </w:tc>
      </w:tr>
      <w:tr w:rsidR="00605E2F" w:rsidRPr="00CD452F" w14:paraId="50CD707E" w14:textId="77777777" w:rsidTr="00B515F7">
        <w:trPr>
          <w:trHeight w:val="290"/>
          <w:jc w:val="center"/>
        </w:trPr>
        <w:tc>
          <w:tcPr>
            <w:tcW w:w="4484" w:type="dxa"/>
            <w:tcBorders>
              <w:top w:val="nil"/>
              <w:left w:val="nil"/>
              <w:bottom w:val="nil"/>
              <w:right w:val="nil"/>
            </w:tcBorders>
            <w:shd w:val="clear" w:color="auto" w:fill="auto"/>
            <w:noWrap/>
            <w:vAlign w:val="bottom"/>
            <w:hideMark/>
          </w:tcPr>
          <w:p w14:paraId="2B8E3F35" w14:textId="77777777" w:rsidR="00605E2F" w:rsidRPr="003927E6" w:rsidRDefault="00605E2F" w:rsidP="00605E2F">
            <w:pPr>
              <w:spacing w:after="0" w:line="240" w:lineRule="auto"/>
              <w:rPr>
                <w:rFonts w:ascii="Times New Roman" w:eastAsia="Times New Roman" w:hAnsi="Times New Roman" w:cs="Times New Roman"/>
                <w:color w:val="000000"/>
                <w:sz w:val="24"/>
                <w:szCs w:val="24"/>
              </w:rPr>
            </w:pPr>
            <w:r w:rsidRPr="00A446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1) R</w:t>
            </w:r>
            <w:r w:rsidRPr="0066434B">
              <w:rPr>
                <w:rFonts w:ascii="Times New Roman" w:eastAsia="Times New Roman" w:hAnsi="Times New Roman" w:cs="Times New Roman"/>
                <w:color w:val="000000"/>
                <w:sz w:val="24"/>
                <w:szCs w:val="24"/>
              </w:rPr>
              <w:t xml:space="preserve">aise BA </w:t>
            </w:r>
            <w:r>
              <w:rPr>
                <w:rFonts w:ascii="Times New Roman" w:eastAsia="Times New Roman" w:hAnsi="Times New Roman" w:cs="Times New Roman"/>
                <w:color w:val="000000"/>
                <w:sz w:val="24"/>
                <w:szCs w:val="24"/>
              </w:rPr>
              <w:t xml:space="preserve">share </w:t>
            </w:r>
            <w:r w:rsidRPr="0066434B">
              <w:rPr>
                <w:rFonts w:ascii="Times New Roman" w:eastAsia="Times New Roman" w:hAnsi="Times New Roman" w:cs="Times New Roman"/>
                <w:color w:val="000000"/>
                <w:sz w:val="24"/>
                <w:szCs w:val="24"/>
              </w:rPr>
              <w:t>to 50%</w:t>
            </w:r>
          </w:p>
        </w:tc>
        <w:tc>
          <w:tcPr>
            <w:tcW w:w="1233" w:type="dxa"/>
            <w:gridSpan w:val="2"/>
            <w:tcBorders>
              <w:top w:val="nil"/>
              <w:left w:val="nil"/>
              <w:bottom w:val="nil"/>
              <w:right w:val="nil"/>
            </w:tcBorders>
            <w:shd w:val="clear" w:color="auto" w:fill="auto"/>
            <w:noWrap/>
            <w:vAlign w:val="bottom"/>
            <w:hideMark/>
          </w:tcPr>
          <w:p w14:paraId="0B1BA268" w14:textId="05FC5B43" w:rsidR="00605E2F" w:rsidRPr="00D84883" w:rsidRDefault="00605E2F" w:rsidP="00605E2F">
            <w:pPr>
              <w:spacing w:after="0" w:line="240" w:lineRule="auto"/>
              <w:jc w:val="right"/>
              <w:rPr>
                <w:rFonts w:ascii="Times New Roman" w:eastAsia="Times New Roman" w:hAnsi="Times New Roman" w:cs="Times New Roman"/>
                <w:color w:val="000000"/>
                <w:sz w:val="24"/>
                <w:szCs w:val="24"/>
              </w:rPr>
            </w:pPr>
            <w:r w:rsidRPr="00D84883">
              <w:rPr>
                <w:rFonts w:ascii="Times New Roman" w:hAnsi="Times New Roman" w:cs="Times New Roman"/>
                <w:color w:val="000000"/>
                <w:sz w:val="24"/>
                <w:szCs w:val="24"/>
              </w:rPr>
              <w:t>2.25</w:t>
            </w:r>
          </w:p>
        </w:tc>
        <w:tc>
          <w:tcPr>
            <w:tcW w:w="1235" w:type="dxa"/>
            <w:gridSpan w:val="2"/>
            <w:tcBorders>
              <w:top w:val="nil"/>
              <w:left w:val="nil"/>
              <w:bottom w:val="nil"/>
              <w:right w:val="nil"/>
            </w:tcBorders>
            <w:shd w:val="clear" w:color="auto" w:fill="auto"/>
            <w:noWrap/>
            <w:vAlign w:val="bottom"/>
            <w:hideMark/>
          </w:tcPr>
          <w:p w14:paraId="3E323491" w14:textId="3C5EA21D" w:rsidR="00605E2F" w:rsidRPr="00D84883" w:rsidRDefault="00605E2F" w:rsidP="00605E2F">
            <w:pPr>
              <w:spacing w:after="0" w:line="240" w:lineRule="auto"/>
              <w:jc w:val="right"/>
              <w:rPr>
                <w:rFonts w:ascii="Times New Roman" w:eastAsia="Times New Roman" w:hAnsi="Times New Roman" w:cs="Times New Roman"/>
                <w:color w:val="000000"/>
                <w:sz w:val="24"/>
                <w:szCs w:val="24"/>
              </w:rPr>
            </w:pPr>
            <w:r w:rsidRPr="00D84883">
              <w:rPr>
                <w:rFonts w:ascii="Times New Roman" w:hAnsi="Times New Roman" w:cs="Times New Roman"/>
                <w:color w:val="000000"/>
                <w:sz w:val="24"/>
                <w:szCs w:val="24"/>
              </w:rPr>
              <w:t>5.87</w:t>
            </w:r>
          </w:p>
        </w:tc>
        <w:tc>
          <w:tcPr>
            <w:tcW w:w="1231" w:type="dxa"/>
            <w:gridSpan w:val="2"/>
            <w:tcBorders>
              <w:top w:val="nil"/>
              <w:left w:val="nil"/>
              <w:bottom w:val="nil"/>
              <w:right w:val="nil"/>
            </w:tcBorders>
            <w:shd w:val="clear" w:color="auto" w:fill="auto"/>
            <w:noWrap/>
            <w:vAlign w:val="bottom"/>
            <w:hideMark/>
          </w:tcPr>
          <w:p w14:paraId="27176EC7" w14:textId="1CC7F1EA" w:rsidR="00605E2F" w:rsidRPr="00D84883" w:rsidRDefault="00605E2F" w:rsidP="00605E2F">
            <w:pPr>
              <w:spacing w:after="0" w:line="240" w:lineRule="auto"/>
              <w:jc w:val="right"/>
              <w:rPr>
                <w:rFonts w:ascii="Times New Roman" w:eastAsia="Times New Roman" w:hAnsi="Times New Roman" w:cs="Times New Roman"/>
                <w:color w:val="000000"/>
                <w:sz w:val="24"/>
                <w:szCs w:val="24"/>
              </w:rPr>
            </w:pPr>
            <w:r w:rsidRPr="00D84883">
              <w:rPr>
                <w:rFonts w:ascii="Times New Roman" w:hAnsi="Times New Roman" w:cs="Times New Roman"/>
                <w:color w:val="000000"/>
                <w:sz w:val="24"/>
                <w:szCs w:val="24"/>
              </w:rPr>
              <w:t>2.61</w:t>
            </w:r>
          </w:p>
        </w:tc>
        <w:tc>
          <w:tcPr>
            <w:tcW w:w="1233" w:type="dxa"/>
            <w:tcBorders>
              <w:top w:val="nil"/>
              <w:left w:val="nil"/>
              <w:bottom w:val="nil"/>
              <w:right w:val="nil"/>
            </w:tcBorders>
            <w:shd w:val="clear" w:color="auto" w:fill="auto"/>
            <w:noWrap/>
            <w:vAlign w:val="bottom"/>
            <w:hideMark/>
          </w:tcPr>
          <w:p w14:paraId="49018270" w14:textId="1B85A52A" w:rsidR="00605E2F" w:rsidRPr="00D84883" w:rsidRDefault="00605E2F" w:rsidP="00605E2F">
            <w:pPr>
              <w:spacing w:after="0" w:line="240" w:lineRule="auto"/>
              <w:jc w:val="right"/>
              <w:rPr>
                <w:rFonts w:ascii="Times New Roman" w:eastAsia="Times New Roman" w:hAnsi="Times New Roman" w:cs="Times New Roman"/>
                <w:color w:val="000000"/>
                <w:sz w:val="24"/>
                <w:szCs w:val="24"/>
              </w:rPr>
            </w:pPr>
            <w:r w:rsidRPr="00D84883">
              <w:rPr>
                <w:rFonts w:ascii="Times New Roman" w:hAnsi="Times New Roman" w:cs="Times New Roman"/>
                <w:color w:val="000000"/>
                <w:sz w:val="24"/>
                <w:szCs w:val="24"/>
              </w:rPr>
              <w:t>2.56</w:t>
            </w:r>
          </w:p>
        </w:tc>
        <w:tc>
          <w:tcPr>
            <w:tcW w:w="2132" w:type="dxa"/>
            <w:tcBorders>
              <w:top w:val="nil"/>
              <w:left w:val="nil"/>
              <w:bottom w:val="nil"/>
              <w:right w:val="nil"/>
            </w:tcBorders>
            <w:shd w:val="clear" w:color="auto" w:fill="auto"/>
            <w:noWrap/>
            <w:vAlign w:val="bottom"/>
            <w:hideMark/>
          </w:tcPr>
          <w:p w14:paraId="59F5DABA" w14:textId="26547C05" w:rsidR="00605E2F" w:rsidRPr="00D84883" w:rsidRDefault="00605E2F" w:rsidP="00605E2F">
            <w:pPr>
              <w:spacing w:after="0" w:line="240" w:lineRule="auto"/>
              <w:jc w:val="center"/>
              <w:rPr>
                <w:rFonts w:ascii="Times New Roman" w:eastAsia="Times New Roman" w:hAnsi="Times New Roman" w:cs="Times New Roman"/>
                <w:color w:val="000000"/>
                <w:sz w:val="24"/>
                <w:szCs w:val="24"/>
              </w:rPr>
            </w:pPr>
            <w:r w:rsidRPr="00D84883">
              <w:rPr>
                <w:rFonts w:ascii="Times New Roman" w:hAnsi="Times New Roman" w:cs="Times New Roman"/>
                <w:color w:val="000000"/>
                <w:sz w:val="24"/>
                <w:szCs w:val="24"/>
              </w:rPr>
              <w:t>0.506</w:t>
            </w:r>
          </w:p>
        </w:tc>
        <w:tc>
          <w:tcPr>
            <w:tcW w:w="2132" w:type="dxa"/>
            <w:tcBorders>
              <w:top w:val="nil"/>
              <w:left w:val="nil"/>
              <w:bottom w:val="nil"/>
              <w:right w:val="nil"/>
            </w:tcBorders>
            <w:vAlign w:val="center"/>
          </w:tcPr>
          <w:p w14:paraId="47D4FBD2" w14:textId="59B89A71" w:rsidR="00605E2F" w:rsidRPr="00AD23B4" w:rsidRDefault="00605E2F" w:rsidP="00605E2F">
            <w:pPr>
              <w:spacing w:after="0" w:line="240" w:lineRule="auto"/>
              <w:jc w:val="center"/>
              <w:rPr>
                <w:rFonts w:ascii="Times New Roman" w:hAnsi="Times New Roman" w:cs="Times New Roman"/>
                <w:color w:val="000000"/>
                <w:sz w:val="24"/>
                <w:szCs w:val="24"/>
              </w:rPr>
            </w:pPr>
            <w:r w:rsidRPr="004B26C9">
              <w:rPr>
                <w:rFonts w:ascii="Times New Roman" w:hAnsi="Times New Roman" w:cs="Times New Roman"/>
                <w:color w:val="000000"/>
                <w:sz w:val="24"/>
                <w:szCs w:val="24"/>
              </w:rPr>
              <w:t>85.41%</w:t>
            </w:r>
          </w:p>
        </w:tc>
      </w:tr>
      <w:tr w:rsidR="00605E2F" w:rsidRPr="00CD452F" w14:paraId="2F8CCDF8" w14:textId="77777777" w:rsidTr="00B515F7">
        <w:trPr>
          <w:trHeight w:val="290"/>
          <w:jc w:val="center"/>
        </w:trPr>
        <w:tc>
          <w:tcPr>
            <w:tcW w:w="4484" w:type="dxa"/>
            <w:tcBorders>
              <w:top w:val="nil"/>
              <w:left w:val="nil"/>
              <w:bottom w:val="nil"/>
              <w:right w:val="nil"/>
            </w:tcBorders>
            <w:shd w:val="clear" w:color="auto" w:fill="auto"/>
            <w:noWrap/>
            <w:vAlign w:val="bottom"/>
            <w:hideMark/>
          </w:tcPr>
          <w:p w14:paraId="74617D5E" w14:textId="77777777" w:rsidR="00605E2F" w:rsidRPr="003927E6" w:rsidRDefault="00605E2F" w:rsidP="00605E2F">
            <w:pPr>
              <w:spacing w:after="0" w:line="240" w:lineRule="auto"/>
              <w:rPr>
                <w:rFonts w:ascii="Times New Roman" w:eastAsia="Times New Roman" w:hAnsi="Times New Roman" w:cs="Times New Roman"/>
                <w:color w:val="000000"/>
                <w:sz w:val="24"/>
                <w:szCs w:val="24"/>
              </w:rPr>
            </w:pPr>
            <w:r w:rsidRPr="00A446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2) + Raise A</w:t>
            </w:r>
            <w:r w:rsidRPr="0066434B">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share to 15</w:t>
            </w:r>
            <w:r w:rsidRPr="0066434B">
              <w:rPr>
                <w:rFonts w:ascii="Times New Roman" w:eastAsia="Times New Roman" w:hAnsi="Times New Roman" w:cs="Times New Roman"/>
                <w:color w:val="000000"/>
                <w:sz w:val="24"/>
                <w:szCs w:val="24"/>
              </w:rPr>
              <w:t>%</w:t>
            </w:r>
          </w:p>
        </w:tc>
        <w:tc>
          <w:tcPr>
            <w:tcW w:w="1233" w:type="dxa"/>
            <w:gridSpan w:val="2"/>
            <w:tcBorders>
              <w:top w:val="nil"/>
              <w:left w:val="nil"/>
              <w:bottom w:val="nil"/>
              <w:right w:val="nil"/>
            </w:tcBorders>
            <w:shd w:val="clear" w:color="auto" w:fill="auto"/>
            <w:noWrap/>
            <w:vAlign w:val="bottom"/>
            <w:hideMark/>
          </w:tcPr>
          <w:p w14:paraId="5B13790E" w14:textId="6D4C8B1E" w:rsidR="00605E2F" w:rsidRPr="00D84883" w:rsidRDefault="00605E2F" w:rsidP="00605E2F">
            <w:pPr>
              <w:spacing w:after="0" w:line="240" w:lineRule="auto"/>
              <w:jc w:val="right"/>
              <w:rPr>
                <w:rFonts w:ascii="Times New Roman" w:eastAsia="Times New Roman" w:hAnsi="Times New Roman" w:cs="Times New Roman"/>
                <w:color w:val="000000"/>
                <w:sz w:val="24"/>
                <w:szCs w:val="24"/>
              </w:rPr>
            </w:pPr>
            <w:r w:rsidRPr="00D84883">
              <w:rPr>
                <w:rFonts w:ascii="Times New Roman" w:hAnsi="Times New Roman" w:cs="Times New Roman"/>
                <w:color w:val="000000"/>
                <w:sz w:val="24"/>
                <w:szCs w:val="24"/>
              </w:rPr>
              <w:t>2.17</w:t>
            </w:r>
          </w:p>
        </w:tc>
        <w:tc>
          <w:tcPr>
            <w:tcW w:w="1235" w:type="dxa"/>
            <w:gridSpan w:val="2"/>
            <w:tcBorders>
              <w:top w:val="nil"/>
              <w:left w:val="nil"/>
              <w:bottom w:val="nil"/>
              <w:right w:val="nil"/>
            </w:tcBorders>
            <w:shd w:val="clear" w:color="auto" w:fill="auto"/>
            <w:noWrap/>
            <w:vAlign w:val="bottom"/>
            <w:hideMark/>
          </w:tcPr>
          <w:p w14:paraId="1517FC4F" w14:textId="109F4CF9" w:rsidR="00605E2F" w:rsidRPr="00D84883" w:rsidRDefault="00605E2F" w:rsidP="00605E2F">
            <w:pPr>
              <w:spacing w:after="0" w:line="240" w:lineRule="auto"/>
              <w:jc w:val="right"/>
              <w:rPr>
                <w:rFonts w:ascii="Times New Roman" w:eastAsia="Times New Roman" w:hAnsi="Times New Roman" w:cs="Times New Roman"/>
                <w:color w:val="000000"/>
                <w:sz w:val="24"/>
                <w:szCs w:val="24"/>
              </w:rPr>
            </w:pPr>
            <w:r w:rsidRPr="00D84883">
              <w:rPr>
                <w:rFonts w:ascii="Times New Roman" w:hAnsi="Times New Roman" w:cs="Times New Roman"/>
                <w:color w:val="000000"/>
                <w:sz w:val="24"/>
                <w:szCs w:val="24"/>
              </w:rPr>
              <w:t>5.65</w:t>
            </w:r>
          </w:p>
        </w:tc>
        <w:tc>
          <w:tcPr>
            <w:tcW w:w="1231" w:type="dxa"/>
            <w:gridSpan w:val="2"/>
            <w:tcBorders>
              <w:top w:val="nil"/>
              <w:left w:val="nil"/>
              <w:bottom w:val="nil"/>
              <w:right w:val="nil"/>
            </w:tcBorders>
            <w:shd w:val="clear" w:color="auto" w:fill="auto"/>
            <w:noWrap/>
            <w:vAlign w:val="bottom"/>
            <w:hideMark/>
          </w:tcPr>
          <w:p w14:paraId="54371D98" w14:textId="4691B343" w:rsidR="00605E2F" w:rsidRPr="00D84883" w:rsidRDefault="00605E2F" w:rsidP="00605E2F">
            <w:pPr>
              <w:spacing w:after="0" w:line="240" w:lineRule="auto"/>
              <w:jc w:val="right"/>
              <w:rPr>
                <w:rFonts w:ascii="Times New Roman" w:eastAsia="Times New Roman" w:hAnsi="Times New Roman" w:cs="Times New Roman"/>
                <w:color w:val="000000"/>
                <w:sz w:val="24"/>
                <w:szCs w:val="24"/>
              </w:rPr>
            </w:pPr>
            <w:r w:rsidRPr="00D84883">
              <w:rPr>
                <w:rFonts w:ascii="Times New Roman" w:hAnsi="Times New Roman" w:cs="Times New Roman"/>
                <w:color w:val="000000"/>
                <w:sz w:val="24"/>
                <w:szCs w:val="24"/>
              </w:rPr>
              <w:t>2.60</w:t>
            </w:r>
          </w:p>
        </w:tc>
        <w:tc>
          <w:tcPr>
            <w:tcW w:w="1233" w:type="dxa"/>
            <w:tcBorders>
              <w:top w:val="nil"/>
              <w:left w:val="nil"/>
              <w:bottom w:val="nil"/>
              <w:right w:val="nil"/>
            </w:tcBorders>
            <w:shd w:val="clear" w:color="auto" w:fill="auto"/>
            <w:noWrap/>
            <w:vAlign w:val="bottom"/>
            <w:hideMark/>
          </w:tcPr>
          <w:p w14:paraId="61772137" w14:textId="5DE03FDB" w:rsidR="00605E2F" w:rsidRPr="00D84883" w:rsidRDefault="00605E2F" w:rsidP="00605E2F">
            <w:pPr>
              <w:spacing w:after="0" w:line="240" w:lineRule="auto"/>
              <w:jc w:val="right"/>
              <w:rPr>
                <w:rFonts w:ascii="Times New Roman" w:eastAsia="Times New Roman" w:hAnsi="Times New Roman" w:cs="Times New Roman"/>
                <w:color w:val="000000"/>
                <w:sz w:val="24"/>
                <w:szCs w:val="24"/>
              </w:rPr>
            </w:pPr>
            <w:r w:rsidRPr="00D84883">
              <w:rPr>
                <w:rFonts w:ascii="Times New Roman" w:hAnsi="Times New Roman" w:cs="Times New Roman"/>
                <w:color w:val="000000"/>
                <w:sz w:val="24"/>
                <w:szCs w:val="24"/>
              </w:rPr>
              <w:t>2.58</w:t>
            </w:r>
          </w:p>
        </w:tc>
        <w:tc>
          <w:tcPr>
            <w:tcW w:w="2132" w:type="dxa"/>
            <w:tcBorders>
              <w:top w:val="nil"/>
              <w:left w:val="nil"/>
              <w:bottom w:val="nil"/>
              <w:right w:val="nil"/>
            </w:tcBorders>
            <w:shd w:val="clear" w:color="auto" w:fill="auto"/>
            <w:noWrap/>
            <w:vAlign w:val="bottom"/>
            <w:hideMark/>
          </w:tcPr>
          <w:p w14:paraId="32422262" w14:textId="0AA06314" w:rsidR="00605E2F" w:rsidRPr="00D84883" w:rsidRDefault="00605E2F" w:rsidP="00605E2F">
            <w:pPr>
              <w:spacing w:after="0" w:line="240" w:lineRule="auto"/>
              <w:jc w:val="center"/>
              <w:rPr>
                <w:rFonts w:ascii="Times New Roman" w:eastAsia="Times New Roman" w:hAnsi="Times New Roman" w:cs="Times New Roman"/>
                <w:color w:val="000000"/>
                <w:sz w:val="24"/>
                <w:szCs w:val="24"/>
              </w:rPr>
            </w:pPr>
            <w:r w:rsidRPr="00D84883">
              <w:rPr>
                <w:rFonts w:ascii="Times New Roman" w:hAnsi="Times New Roman" w:cs="Times New Roman"/>
                <w:color w:val="000000"/>
                <w:sz w:val="24"/>
                <w:szCs w:val="24"/>
              </w:rPr>
              <w:t>0.503</w:t>
            </w:r>
          </w:p>
        </w:tc>
        <w:tc>
          <w:tcPr>
            <w:tcW w:w="2132" w:type="dxa"/>
            <w:tcBorders>
              <w:top w:val="nil"/>
              <w:left w:val="nil"/>
              <w:bottom w:val="nil"/>
              <w:right w:val="nil"/>
            </w:tcBorders>
            <w:vAlign w:val="center"/>
          </w:tcPr>
          <w:p w14:paraId="2E2DD68E" w14:textId="0CE15537" w:rsidR="00605E2F" w:rsidRPr="00AD23B4" w:rsidRDefault="00605E2F" w:rsidP="00605E2F">
            <w:pPr>
              <w:spacing w:after="0" w:line="240" w:lineRule="auto"/>
              <w:jc w:val="center"/>
              <w:rPr>
                <w:rFonts w:ascii="Times New Roman" w:hAnsi="Times New Roman" w:cs="Times New Roman"/>
                <w:color w:val="000000"/>
                <w:sz w:val="24"/>
                <w:szCs w:val="24"/>
              </w:rPr>
            </w:pPr>
            <w:r w:rsidRPr="004B26C9">
              <w:rPr>
                <w:rFonts w:ascii="Times New Roman" w:hAnsi="Times New Roman" w:cs="Times New Roman"/>
                <w:color w:val="000000"/>
                <w:sz w:val="24"/>
                <w:szCs w:val="24"/>
              </w:rPr>
              <w:t>85.41%</w:t>
            </w:r>
          </w:p>
        </w:tc>
      </w:tr>
      <w:tr w:rsidR="00605E2F" w:rsidRPr="00CD452F" w14:paraId="53C862D7" w14:textId="77777777" w:rsidTr="00B515F7">
        <w:trPr>
          <w:trHeight w:val="290"/>
          <w:jc w:val="center"/>
        </w:trPr>
        <w:tc>
          <w:tcPr>
            <w:tcW w:w="4484" w:type="dxa"/>
            <w:tcBorders>
              <w:top w:val="nil"/>
              <w:left w:val="nil"/>
              <w:bottom w:val="nil"/>
              <w:right w:val="nil"/>
            </w:tcBorders>
            <w:shd w:val="clear" w:color="auto" w:fill="auto"/>
            <w:noWrap/>
            <w:vAlign w:val="bottom"/>
            <w:hideMark/>
          </w:tcPr>
          <w:p w14:paraId="47C66867" w14:textId="77777777" w:rsidR="00605E2F" w:rsidRPr="003927E6" w:rsidRDefault="00605E2F" w:rsidP="00605E2F">
            <w:pPr>
              <w:spacing w:after="0" w:line="240" w:lineRule="auto"/>
              <w:rPr>
                <w:rFonts w:ascii="Times New Roman" w:eastAsia="Times New Roman" w:hAnsi="Times New Roman" w:cs="Times New Roman"/>
                <w:color w:val="000000"/>
                <w:sz w:val="24"/>
                <w:szCs w:val="24"/>
              </w:rPr>
            </w:pPr>
            <w:r w:rsidRPr="00A446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3) 6</w:t>
            </w:r>
            <w:r w:rsidRPr="0066434B">
              <w:rPr>
                <w:rFonts w:ascii="Times New Roman" w:eastAsia="Times New Roman" w:hAnsi="Times New Roman" w:cs="Times New Roman"/>
                <w:color w:val="000000"/>
                <w:sz w:val="24"/>
                <w:szCs w:val="24"/>
              </w:rPr>
              <w:t xml:space="preserve">0% </w:t>
            </w:r>
            <w:r>
              <w:rPr>
                <w:rFonts w:ascii="Times New Roman" w:eastAsia="Times New Roman" w:hAnsi="Times New Roman" w:cs="Times New Roman"/>
                <w:color w:val="000000"/>
                <w:sz w:val="24"/>
                <w:szCs w:val="24"/>
              </w:rPr>
              <w:t>B</w:t>
            </w:r>
            <w:r w:rsidRPr="0066434B">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share</w:t>
            </w:r>
            <w:r w:rsidRPr="0066434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w:t>
            </w:r>
            <w:r w:rsidRPr="0066434B">
              <w:rPr>
                <w:rFonts w:ascii="Times New Roman" w:eastAsia="Times New Roman" w:hAnsi="Times New Roman" w:cs="Times New Roman"/>
                <w:color w:val="000000"/>
                <w:sz w:val="24"/>
                <w:szCs w:val="24"/>
              </w:rPr>
              <w:t xml:space="preserve">0% </w:t>
            </w:r>
            <w:r>
              <w:rPr>
                <w:rFonts w:ascii="Times New Roman" w:eastAsia="Times New Roman" w:hAnsi="Times New Roman" w:cs="Times New Roman"/>
                <w:color w:val="000000"/>
                <w:sz w:val="24"/>
                <w:szCs w:val="24"/>
              </w:rPr>
              <w:t>A</w:t>
            </w:r>
            <w:r w:rsidRPr="0066434B">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share</w:t>
            </w:r>
          </w:p>
        </w:tc>
        <w:tc>
          <w:tcPr>
            <w:tcW w:w="1233" w:type="dxa"/>
            <w:gridSpan w:val="2"/>
            <w:tcBorders>
              <w:top w:val="nil"/>
              <w:left w:val="nil"/>
              <w:bottom w:val="nil"/>
              <w:right w:val="nil"/>
            </w:tcBorders>
            <w:shd w:val="clear" w:color="auto" w:fill="auto"/>
            <w:noWrap/>
            <w:vAlign w:val="bottom"/>
            <w:hideMark/>
          </w:tcPr>
          <w:p w14:paraId="21A011EF" w14:textId="62B52B0A" w:rsidR="00605E2F" w:rsidRPr="00D84883" w:rsidRDefault="00605E2F" w:rsidP="00605E2F">
            <w:pPr>
              <w:spacing w:after="0" w:line="240" w:lineRule="auto"/>
              <w:jc w:val="right"/>
              <w:rPr>
                <w:rFonts w:ascii="Times New Roman" w:eastAsia="Times New Roman" w:hAnsi="Times New Roman" w:cs="Times New Roman"/>
                <w:color w:val="000000"/>
                <w:sz w:val="24"/>
                <w:szCs w:val="24"/>
              </w:rPr>
            </w:pPr>
            <w:r w:rsidRPr="00D84883">
              <w:rPr>
                <w:rFonts w:ascii="Times New Roman" w:hAnsi="Times New Roman" w:cs="Times New Roman"/>
                <w:color w:val="000000"/>
                <w:sz w:val="24"/>
                <w:szCs w:val="24"/>
              </w:rPr>
              <w:t>2.08</w:t>
            </w:r>
          </w:p>
        </w:tc>
        <w:tc>
          <w:tcPr>
            <w:tcW w:w="1235" w:type="dxa"/>
            <w:gridSpan w:val="2"/>
            <w:tcBorders>
              <w:top w:val="nil"/>
              <w:left w:val="nil"/>
              <w:bottom w:val="nil"/>
              <w:right w:val="nil"/>
            </w:tcBorders>
            <w:shd w:val="clear" w:color="auto" w:fill="auto"/>
            <w:noWrap/>
            <w:vAlign w:val="bottom"/>
            <w:hideMark/>
          </w:tcPr>
          <w:p w14:paraId="14DCC17D" w14:textId="673B439C" w:rsidR="00605E2F" w:rsidRPr="00D84883" w:rsidRDefault="00605E2F" w:rsidP="00605E2F">
            <w:pPr>
              <w:spacing w:after="0" w:line="240" w:lineRule="auto"/>
              <w:jc w:val="right"/>
              <w:rPr>
                <w:rFonts w:ascii="Times New Roman" w:eastAsia="Times New Roman" w:hAnsi="Times New Roman" w:cs="Times New Roman"/>
                <w:color w:val="000000"/>
                <w:sz w:val="24"/>
                <w:szCs w:val="24"/>
              </w:rPr>
            </w:pPr>
            <w:r w:rsidRPr="00D84883">
              <w:rPr>
                <w:rFonts w:ascii="Times New Roman" w:hAnsi="Times New Roman" w:cs="Times New Roman"/>
                <w:color w:val="000000"/>
                <w:sz w:val="24"/>
                <w:szCs w:val="24"/>
              </w:rPr>
              <w:t>5.11</w:t>
            </w:r>
          </w:p>
        </w:tc>
        <w:tc>
          <w:tcPr>
            <w:tcW w:w="1231" w:type="dxa"/>
            <w:gridSpan w:val="2"/>
            <w:tcBorders>
              <w:top w:val="nil"/>
              <w:left w:val="nil"/>
              <w:bottom w:val="nil"/>
              <w:right w:val="nil"/>
            </w:tcBorders>
            <w:shd w:val="clear" w:color="auto" w:fill="auto"/>
            <w:noWrap/>
            <w:vAlign w:val="bottom"/>
            <w:hideMark/>
          </w:tcPr>
          <w:p w14:paraId="73F78CB5" w14:textId="24C70A89" w:rsidR="00605E2F" w:rsidRPr="00D84883" w:rsidRDefault="00605E2F" w:rsidP="00605E2F">
            <w:pPr>
              <w:spacing w:after="0" w:line="240" w:lineRule="auto"/>
              <w:jc w:val="right"/>
              <w:rPr>
                <w:rFonts w:ascii="Times New Roman" w:eastAsia="Times New Roman" w:hAnsi="Times New Roman" w:cs="Times New Roman"/>
                <w:color w:val="000000"/>
                <w:sz w:val="24"/>
                <w:szCs w:val="24"/>
              </w:rPr>
            </w:pPr>
            <w:r w:rsidRPr="00D84883">
              <w:rPr>
                <w:rFonts w:ascii="Times New Roman" w:hAnsi="Times New Roman" w:cs="Times New Roman"/>
                <w:color w:val="000000"/>
                <w:sz w:val="24"/>
                <w:szCs w:val="24"/>
              </w:rPr>
              <w:t>2.46</w:t>
            </w:r>
          </w:p>
        </w:tc>
        <w:tc>
          <w:tcPr>
            <w:tcW w:w="1233" w:type="dxa"/>
            <w:tcBorders>
              <w:top w:val="nil"/>
              <w:left w:val="nil"/>
              <w:bottom w:val="nil"/>
              <w:right w:val="nil"/>
            </w:tcBorders>
            <w:shd w:val="clear" w:color="auto" w:fill="auto"/>
            <w:noWrap/>
            <w:vAlign w:val="bottom"/>
            <w:hideMark/>
          </w:tcPr>
          <w:p w14:paraId="7ADDF3B6" w14:textId="32FD0D3A" w:rsidR="00605E2F" w:rsidRPr="00D84883" w:rsidRDefault="00605E2F" w:rsidP="00605E2F">
            <w:pPr>
              <w:spacing w:after="0" w:line="240" w:lineRule="auto"/>
              <w:jc w:val="right"/>
              <w:rPr>
                <w:rFonts w:ascii="Times New Roman" w:eastAsia="Times New Roman" w:hAnsi="Times New Roman" w:cs="Times New Roman"/>
                <w:color w:val="000000"/>
                <w:sz w:val="24"/>
                <w:szCs w:val="24"/>
              </w:rPr>
            </w:pPr>
            <w:r w:rsidRPr="00D84883">
              <w:rPr>
                <w:rFonts w:ascii="Times New Roman" w:hAnsi="Times New Roman" w:cs="Times New Roman"/>
                <w:color w:val="000000"/>
                <w:sz w:val="24"/>
                <w:szCs w:val="24"/>
              </w:rPr>
              <w:t>2.59</w:t>
            </w:r>
          </w:p>
        </w:tc>
        <w:tc>
          <w:tcPr>
            <w:tcW w:w="2132" w:type="dxa"/>
            <w:tcBorders>
              <w:top w:val="nil"/>
              <w:left w:val="nil"/>
              <w:bottom w:val="nil"/>
              <w:right w:val="nil"/>
            </w:tcBorders>
            <w:shd w:val="clear" w:color="auto" w:fill="auto"/>
            <w:noWrap/>
            <w:vAlign w:val="bottom"/>
            <w:hideMark/>
          </w:tcPr>
          <w:p w14:paraId="2FDB85FA" w14:textId="2E3DDE92" w:rsidR="00605E2F" w:rsidRPr="00D84883" w:rsidRDefault="00605E2F" w:rsidP="00605E2F">
            <w:pPr>
              <w:spacing w:after="0" w:line="240" w:lineRule="auto"/>
              <w:jc w:val="center"/>
              <w:rPr>
                <w:rFonts w:ascii="Times New Roman" w:eastAsia="Times New Roman" w:hAnsi="Times New Roman" w:cs="Times New Roman"/>
                <w:color w:val="000000"/>
                <w:sz w:val="24"/>
                <w:szCs w:val="24"/>
              </w:rPr>
            </w:pPr>
            <w:r w:rsidRPr="00D84883">
              <w:rPr>
                <w:rFonts w:ascii="Times New Roman" w:hAnsi="Times New Roman" w:cs="Times New Roman"/>
                <w:color w:val="000000"/>
                <w:sz w:val="24"/>
                <w:szCs w:val="24"/>
              </w:rPr>
              <w:t>0.492</w:t>
            </w:r>
          </w:p>
        </w:tc>
        <w:tc>
          <w:tcPr>
            <w:tcW w:w="2132" w:type="dxa"/>
            <w:tcBorders>
              <w:top w:val="nil"/>
              <w:left w:val="nil"/>
              <w:bottom w:val="nil"/>
              <w:right w:val="nil"/>
            </w:tcBorders>
            <w:vAlign w:val="center"/>
          </w:tcPr>
          <w:p w14:paraId="13AFA136" w14:textId="2A979AB3" w:rsidR="00605E2F" w:rsidRPr="00AD23B4" w:rsidRDefault="00605E2F" w:rsidP="00605E2F">
            <w:pPr>
              <w:spacing w:after="0" w:line="240" w:lineRule="auto"/>
              <w:jc w:val="center"/>
              <w:rPr>
                <w:rFonts w:ascii="Times New Roman" w:hAnsi="Times New Roman" w:cs="Times New Roman"/>
                <w:color w:val="000000"/>
                <w:sz w:val="24"/>
                <w:szCs w:val="24"/>
              </w:rPr>
            </w:pPr>
            <w:r w:rsidRPr="004B26C9">
              <w:rPr>
                <w:rFonts w:ascii="Times New Roman" w:hAnsi="Times New Roman" w:cs="Times New Roman"/>
                <w:color w:val="000000"/>
                <w:sz w:val="24"/>
                <w:szCs w:val="24"/>
              </w:rPr>
              <w:t>85.41%</w:t>
            </w:r>
          </w:p>
        </w:tc>
      </w:tr>
      <w:tr w:rsidR="000F7C00" w:rsidRPr="00CD452F" w14:paraId="0DB8D159" w14:textId="77777777" w:rsidTr="00211FA3">
        <w:trPr>
          <w:trHeight w:val="130"/>
          <w:jc w:val="center"/>
        </w:trPr>
        <w:tc>
          <w:tcPr>
            <w:tcW w:w="4484" w:type="dxa"/>
            <w:tcBorders>
              <w:top w:val="nil"/>
              <w:left w:val="nil"/>
              <w:bottom w:val="single" w:sz="4" w:space="0" w:color="auto"/>
              <w:right w:val="nil"/>
            </w:tcBorders>
            <w:shd w:val="clear" w:color="auto" w:fill="auto"/>
            <w:noWrap/>
            <w:vAlign w:val="bottom"/>
            <w:hideMark/>
          </w:tcPr>
          <w:p w14:paraId="4984C439" w14:textId="77777777" w:rsidR="000F7C00" w:rsidRPr="00CD452F" w:rsidRDefault="000F7C00" w:rsidP="00211FA3">
            <w:pPr>
              <w:spacing w:after="0" w:line="240" w:lineRule="auto"/>
              <w:jc w:val="right"/>
              <w:rPr>
                <w:rFonts w:ascii="Times New Roman" w:eastAsia="Times New Roman" w:hAnsi="Times New Roman" w:cs="Times New Roman"/>
                <w:color w:val="000000"/>
                <w:sz w:val="10"/>
                <w:szCs w:val="10"/>
              </w:rPr>
            </w:pPr>
            <w:r w:rsidRPr="00CD452F">
              <w:rPr>
                <w:rFonts w:ascii="Times New Roman" w:eastAsia="Times New Roman" w:hAnsi="Times New Roman" w:cs="Times New Roman"/>
                <w:color w:val="000000"/>
                <w:sz w:val="10"/>
                <w:szCs w:val="10"/>
              </w:rPr>
              <w:t> </w:t>
            </w:r>
          </w:p>
        </w:tc>
        <w:tc>
          <w:tcPr>
            <w:tcW w:w="1135" w:type="dxa"/>
            <w:tcBorders>
              <w:top w:val="nil"/>
              <w:left w:val="nil"/>
              <w:bottom w:val="single" w:sz="4" w:space="0" w:color="auto"/>
              <w:right w:val="nil"/>
            </w:tcBorders>
            <w:shd w:val="clear" w:color="auto" w:fill="auto"/>
            <w:noWrap/>
            <w:vAlign w:val="bottom"/>
            <w:hideMark/>
          </w:tcPr>
          <w:p w14:paraId="05688AB0" w14:textId="77777777" w:rsidR="000F7C00" w:rsidRPr="00CD452F" w:rsidRDefault="000F7C00" w:rsidP="00211FA3">
            <w:pPr>
              <w:spacing w:after="0" w:line="240" w:lineRule="auto"/>
              <w:jc w:val="right"/>
              <w:rPr>
                <w:rFonts w:ascii="Times New Roman" w:eastAsia="Times New Roman" w:hAnsi="Times New Roman" w:cs="Times New Roman"/>
                <w:color w:val="000000"/>
                <w:sz w:val="10"/>
                <w:szCs w:val="10"/>
              </w:rPr>
            </w:pPr>
            <w:r w:rsidRPr="00CD452F">
              <w:rPr>
                <w:rFonts w:ascii="Times New Roman" w:eastAsia="Times New Roman" w:hAnsi="Times New Roman" w:cs="Times New Roman"/>
                <w:color w:val="000000"/>
                <w:sz w:val="10"/>
                <w:szCs w:val="10"/>
              </w:rPr>
              <w:t> </w:t>
            </w:r>
          </w:p>
        </w:tc>
        <w:tc>
          <w:tcPr>
            <w:tcW w:w="1135" w:type="dxa"/>
            <w:gridSpan w:val="2"/>
            <w:tcBorders>
              <w:top w:val="nil"/>
              <w:left w:val="nil"/>
              <w:bottom w:val="single" w:sz="4" w:space="0" w:color="auto"/>
              <w:right w:val="nil"/>
            </w:tcBorders>
            <w:shd w:val="clear" w:color="auto" w:fill="auto"/>
            <w:noWrap/>
            <w:vAlign w:val="bottom"/>
            <w:hideMark/>
          </w:tcPr>
          <w:p w14:paraId="169D3C76" w14:textId="77777777" w:rsidR="000F7C00" w:rsidRPr="00CD452F" w:rsidRDefault="000F7C00" w:rsidP="00211FA3">
            <w:pPr>
              <w:spacing w:after="0" w:line="240" w:lineRule="auto"/>
              <w:jc w:val="right"/>
              <w:rPr>
                <w:rFonts w:ascii="Times New Roman" w:eastAsia="Times New Roman" w:hAnsi="Times New Roman" w:cs="Times New Roman"/>
                <w:color w:val="000000"/>
                <w:sz w:val="10"/>
                <w:szCs w:val="10"/>
              </w:rPr>
            </w:pPr>
            <w:r w:rsidRPr="00CD452F">
              <w:rPr>
                <w:rFonts w:ascii="Times New Roman" w:eastAsia="Times New Roman" w:hAnsi="Times New Roman" w:cs="Times New Roman"/>
                <w:color w:val="000000"/>
                <w:sz w:val="10"/>
                <w:szCs w:val="10"/>
              </w:rPr>
              <w:t> </w:t>
            </w:r>
          </w:p>
        </w:tc>
        <w:tc>
          <w:tcPr>
            <w:tcW w:w="1415" w:type="dxa"/>
            <w:gridSpan w:val="2"/>
            <w:tcBorders>
              <w:top w:val="nil"/>
              <w:left w:val="nil"/>
              <w:bottom w:val="single" w:sz="4" w:space="0" w:color="auto"/>
              <w:right w:val="nil"/>
            </w:tcBorders>
            <w:shd w:val="clear" w:color="auto" w:fill="auto"/>
            <w:noWrap/>
            <w:vAlign w:val="bottom"/>
            <w:hideMark/>
          </w:tcPr>
          <w:p w14:paraId="29252906" w14:textId="77777777" w:rsidR="000F7C00" w:rsidRPr="00CD452F" w:rsidRDefault="000F7C00" w:rsidP="00211FA3">
            <w:pPr>
              <w:spacing w:after="0" w:line="240" w:lineRule="auto"/>
              <w:rPr>
                <w:rFonts w:ascii="Times New Roman" w:eastAsia="Times New Roman" w:hAnsi="Times New Roman" w:cs="Times New Roman"/>
                <w:color w:val="000000"/>
                <w:sz w:val="10"/>
                <w:szCs w:val="10"/>
              </w:rPr>
            </w:pPr>
            <w:r w:rsidRPr="00CD452F">
              <w:rPr>
                <w:rFonts w:ascii="Times New Roman" w:eastAsia="Times New Roman" w:hAnsi="Times New Roman" w:cs="Times New Roman"/>
                <w:color w:val="000000"/>
                <w:sz w:val="10"/>
                <w:szCs w:val="10"/>
              </w:rPr>
              <w:t> </w:t>
            </w:r>
          </w:p>
        </w:tc>
        <w:tc>
          <w:tcPr>
            <w:tcW w:w="1247" w:type="dxa"/>
            <w:gridSpan w:val="2"/>
            <w:tcBorders>
              <w:top w:val="nil"/>
              <w:left w:val="nil"/>
              <w:bottom w:val="single" w:sz="4" w:space="0" w:color="auto"/>
              <w:right w:val="nil"/>
            </w:tcBorders>
            <w:shd w:val="clear" w:color="auto" w:fill="auto"/>
            <w:noWrap/>
            <w:vAlign w:val="bottom"/>
            <w:hideMark/>
          </w:tcPr>
          <w:p w14:paraId="11A3A0D3" w14:textId="77777777" w:rsidR="000F7C00" w:rsidRPr="00CD452F" w:rsidRDefault="000F7C00" w:rsidP="00211FA3">
            <w:pPr>
              <w:spacing w:after="0" w:line="240" w:lineRule="auto"/>
              <w:rPr>
                <w:rFonts w:ascii="Times New Roman" w:eastAsia="Times New Roman" w:hAnsi="Times New Roman" w:cs="Times New Roman"/>
                <w:color w:val="000000"/>
                <w:sz w:val="10"/>
                <w:szCs w:val="10"/>
              </w:rPr>
            </w:pPr>
            <w:r w:rsidRPr="00CD452F">
              <w:rPr>
                <w:rFonts w:ascii="Times New Roman" w:eastAsia="Times New Roman" w:hAnsi="Times New Roman" w:cs="Times New Roman"/>
                <w:color w:val="000000"/>
                <w:sz w:val="10"/>
                <w:szCs w:val="10"/>
              </w:rPr>
              <w:t> </w:t>
            </w:r>
          </w:p>
        </w:tc>
        <w:tc>
          <w:tcPr>
            <w:tcW w:w="2132" w:type="dxa"/>
            <w:tcBorders>
              <w:top w:val="nil"/>
              <w:left w:val="nil"/>
              <w:bottom w:val="single" w:sz="4" w:space="0" w:color="auto"/>
              <w:right w:val="nil"/>
            </w:tcBorders>
            <w:shd w:val="clear" w:color="auto" w:fill="auto"/>
            <w:noWrap/>
            <w:vAlign w:val="bottom"/>
            <w:hideMark/>
          </w:tcPr>
          <w:p w14:paraId="4D5D89BB" w14:textId="77777777" w:rsidR="000F7C00" w:rsidRPr="00CD452F" w:rsidRDefault="000F7C00" w:rsidP="00211FA3">
            <w:pPr>
              <w:spacing w:after="0" w:line="240" w:lineRule="auto"/>
              <w:jc w:val="center"/>
              <w:rPr>
                <w:rFonts w:ascii="Times New Roman" w:eastAsia="Times New Roman" w:hAnsi="Times New Roman" w:cs="Times New Roman"/>
                <w:color w:val="000000"/>
                <w:sz w:val="10"/>
                <w:szCs w:val="10"/>
              </w:rPr>
            </w:pPr>
          </w:p>
        </w:tc>
        <w:tc>
          <w:tcPr>
            <w:tcW w:w="2132" w:type="dxa"/>
            <w:tcBorders>
              <w:top w:val="nil"/>
              <w:left w:val="nil"/>
              <w:bottom w:val="single" w:sz="4" w:space="0" w:color="auto"/>
              <w:right w:val="nil"/>
            </w:tcBorders>
          </w:tcPr>
          <w:p w14:paraId="1879A4ED" w14:textId="77777777" w:rsidR="000F7C00" w:rsidRPr="00CD452F" w:rsidRDefault="000F7C00" w:rsidP="00211FA3">
            <w:pPr>
              <w:spacing w:after="0" w:line="240" w:lineRule="auto"/>
              <w:rPr>
                <w:rFonts w:ascii="Times New Roman" w:eastAsia="Times New Roman" w:hAnsi="Times New Roman" w:cs="Times New Roman"/>
                <w:color w:val="000000"/>
                <w:sz w:val="10"/>
                <w:szCs w:val="10"/>
              </w:rPr>
            </w:pPr>
          </w:p>
        </w:tc>
      </w:tr>
      <w:tr w:rsidR="000F7C00" w:rsidRPr="00CD452F" w14:paraId="25F12D16" w14:textId="77777777" w:rsidTr="00211FA3">
        <w:trPr>
          <w:trHeight w:val="720"/>
          <w:jc w:val="center"/>
        </w:trPr>
        <w:tc>
          <w:tcPr>
            <w:tcW w:w="13680" w:type="dxa"/>
            <w:gridSpan w:val="10"/>
            <w:tcBorders>
              <w:top w:val="single" w:sz="4" w:space="0" w:color="auto"/>
              <w:left w:val="nil"/>
              <w:right w:val="nil"/>
            </w:tcBorders>
            <w:shd w:val="clear" w:color="auto" w:fill="auto"/>
            <w:hideMark/>
          </w:tcPr>
          <w:p w14:paraId="0643EE1F" w14:textId="77777777" w:rsidR="000F7C00" w:rsidRDefault="000F7C00" w:rsidP="00211FA3">
            <w:pPr>
              <w:spacing w:before="120" w:after="0" w:line="240" w:lineRule="auto"/>
              <w:rPr>
                <w:rFonts w:ascii="Times New Roman" w:eastAsia="Times New Roman" w:hAnsi="Times New Roman" w:cs="Times New Roman"/>
                <w:color w:val="000000"/>
                <w:sz w:val="20"/>
                <w:szCs w:val="20"/>
              </w:rPr>
            </w:pPr>
            <w:r w:rsidRPr="008640AF">
              <w:rPr>
                <w:rFonts w:ascii="Times New Roman" w:eastAsia="Times New Roman" w:hAnsi="Times New Roman" w:cs="Times New Roman"/>
                <w:i/>
                <w:color w:val="000000"/>
                <w:sz w:val="20"/>
                <w:szCs w:val="20"/>
              </w:rPr>
              <w:t>Note</w:t>
            </w:r>
            <w:r w:rsidRPr="00BD761B">
              <w:rPr>
                <w:rFonts w:ascii="Times New Roman" w:eastAsia="Times New Roman" w:hAnsi="Times New Roman" w:cs="Times New Roman"/>
                <w:smallCaps/>
                <w:color w:val="000000"/>
                <w:sz w:val="20"/>
                <w:szCs w:val="20"/>
              </w:rPr>
              <w:t>:</w:t>
            </w:r>
            <w:r>
              <w:rPr>
                <w:rFonts w:ascii="Times New Roman" w:eastAsia="Times New Roman" w:hAnsi="Times New Roman" w:cs="Times New Roman"/>
                <w:smallCaps/>
                <w:color w:val="000000"/>
                <w:sz w:val="20"/>
                <w:szCs w:val="20"/>
              </w:rPr>
              <w:t xml:space="preserve"> </w:t>
            </w:r>
            <w:r w:rsidRPr="00693F81">
              <w:rPr>
                <w:rFonts w:ascii="Times New Roman" w:eastAsia="Times New Roman" w:hAnsi="Times New Roman" w:cs="Times New Roman"/>
                <w:color w:val="000000"/>
                <w:sz w:val="20"/>
                <w:szCs w:val="20"/>
              </w:rPr>
              <w:t xml:space="preserve">The distribution method assigns </w:t>
            </w:r>
            <w:r>
              <w:rPr>
                <w:rFonts w:ascii="Times New Roman" w:eastAsia="Times New Roman" w:hAnsi="Times New Roman" w:cs="Times New Roman"/>
                <w:color w:val="000000"/>
                <w:sz w:val="20"/>
                <w:szCs w:val="20"/>
              </w:rPr>
              <w:t>“</w:t>
            </w:r>
            <w:r w:rsidRPr="00693F81">
              <w:rPr>
                <w:rFonts w:ascii="Times New Roman" w:eastAsia="Times New Roman" w:hAnsi="Times New Roman" w:cs="Times New Roman"/>
                <w:color w:val="000000"/>
                <w:sz w:val="20"/>
                <w:szCs w:val="20"/>
              </w:rPr>
              <w:t>treated</w:t>
            </w:r>
            <w:r>
              <w:rPr>
                <w:rFonts w:ascii="Times New Roman" w:eastAsia="Times New Roman" w:hAnsi="Times New Roman" w:cs="Times New Roman"/>
                <w:color w:val="000000"/>
                <w:sz w:val="20"/>
                <w:szCs w:val="20"/>
              </w:rPr>
              <w:t>”</w:t>
            </w:r>
            <w:r w:rsidRPr="00693F81">
              <w:rPr>
                <w:rFonts w:ascii="Times New Roman" w:eastAsia="Times New Roman" w:hAnsi="Times New Roman" w:cs="Times New Roman"/>
                <w:color w:val="000000"/>
                <w:sz w:val="20"/>
                <w:szCs w:val="20"/>
              </w:rPr>
              <w:t xml:space="preserve"> individuals a </w:t>
            </w:r>
            <w:r>
              <w:rPr>
                <w:rFonts w:ascii="Times New Roman" w:eastAsia="Times New Roman" w:hAnsi="Times New Roman" w:cs="Times New Roman"/>
                <w:color w:val="000000"/>
                <w:sz w:val="20"/>
                <w:szCs w:val="20"/>
              </w:rPr>
              <w:t>random draw from</w:t>
            </w:r>
            <w:r w:rsidRPr="00693F81">
              <w:rPr>
                <w:rFonts w:ascii="Times New Roman" w:eastAsia="Times New Roman" w:hAnsi="Times New Roman" w:cs="Times New Roman"/>
                <w:color w:val="000000"/>
                <w:sz w:val="20"/>
                <w:szCs w:val="20"/>
              </w:rPr>
              <w:t xml:space="preserve"> the earnings distribution of the assigned group (AA or BA). The causal parameter method increases the earnings of the treated by a factor consistent with existing literature</w:t>
            </w:r>
            <w:r>
              <w:rPr>
                <w:rFonts w:ascii="Times New Roman" w:eastAsia="Times New Roman" w:hAnsi="Times New Roman" w:cs="Times New Roman"/>
                <w:color w:val="000000"/>
                <w:sz w:val="20"/>
                <w:szCs w:val="20"/>
              </w:rPr>
              <w:t xml:space="preserve"> (see text)</w:t>
            </w:r>
            <w:r w:rsidRPr="00693F81">
              <w:rPr>
                <w:rFonts w:ascii="Times New Roman" w:eastAsia="Times New Roman" w:hAnsi="Times New Roman" w:cs="Times New Roman"/>
                <w:color w:val="000000"/>
                <w:sz w:val="20"/>
                <w:szCs w:val="20"/>
              </w:rPr>
              <w:t xml:space="preserve">. We include general equilibrium effects </w:t>
            </w:r>
            <w:r>
              <w:rPr>
                <w:rFonts w:ascii="Times New Roman" w:eastAsia="Times New Roman" w:hAnsi="Times New Roman" w:cs="Times New Roman"/>
                <w:color w:val="000000"/>
                <w:sz w:val="20"/>
                <w:szCs w:val="20"/>
              </w:rPr>
              <w:t xml:space="preserve">on wages </w:t>
            </w:r>
            <w:r w:rsidRPr="00693F81">
              <w:rPr>
                <w:rFonts w:ascii="Times New Roman" w:eastAsia="Times New Roman" w:hAnsi="Times New Roman" w:cs="Times New Roman"/>
                <w:color w:val="000000"/>
                <w:sz w:val="20"/>
                <w:szCs w:val="20"/>
              </w:rPr>
              <w:t>in these simulations</w:t>
            </w:r>
            <w:r>
              <w:rPr>
                <w:rFonts w:ascii="Times New Roman" w:eastAsia="Times New Roman" w:hAnsi="Times New Roman" w:cs="Times New Roman"/>
                <w:color w:val="000000"/>
                <w:sz w:val="20"/>
                <w:szCs w:val="20"/>
              </w:rPr>
              <w:t>, as explained in the text</w:t>
            </w:r>
            <w:r w:rsidRPr="00693F81">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Ratios with the 10</w:t>
            </w:r>
            <w:r w:rsidRPr="003927E6">
              <w:rPr>
                <w:rFonts w:ascii="Times New Roman" w:eastAsia="Times New Roman" w:hAnsi="Times New Roman" w:cs="Times New Roman"/>
                <w:color w:val="000000"/>
                <w:sz w:val="20"/>
                <w:szCs w:val="20"/>
                <w:vertAlign w:val="superscript"/>
              </w:rPr>
              <w:t>th</w:t>
            </w:r>
            <w:r>
              <w:rPr>
                <w:rFonts w:ascii="Times New Roman" w:eastAsia="Times New Roman" w:hAnsi="Times New Roman" w:cs="Times New Roman"/>
                <w:color w:val="000000"/>
                <w:sz w:val="20"/>
                <w:szCs w:val="20"/>
              </w:rPr>
              <w:t xml:space="preserve"> percentile as the denominator </w:t>
            </w:r>
            <w:proofErr w:type="gramStart"/>
            <w:r>
              <w:rPr>
                <w:rFonts w:ascii="Times New Roman" w:eastAsia="Times New Roman" w:hAnsi="Times New Roman" w:cs="Times New Roman"/>
                <w:color w:val="000000"/>
                <w:sz w:val="20"/>
                <w:szCs w:val="20"/>
              </w:rPr>
              <w:t>are not calculated</w:t>
            </w:r>
            <w:proofErr w:type="gramEnd"/>
            <w:r>
              <w:rPr>
                <w:rFonts w:ascii="Times New Roman" w:eastAsia="Times New Roman" w:hAnsi="Times New Roman" w:cs="Times New Roman"/>
                <w:color w:val="000000"/>
                <w:sz w:val="20"/>
                <w:szCs w:val="20"/>
              </w:rPr>
              <w:t>, as the 10</w:t>
            </w:r>
            <w:r w:rsidRPr="003927E6">
              <w:rPr>
                <w:rFonts w:ascii="Times New Roman" w:eastAsia="Times New Roman" w:hAnsi="Times New Roman" w:cs="Times New Roman"/>
                <w:color w:val="000000"/>
                <w:sz w:val="20"/>
                <w:szCs w:val="20"/>
                <w:vertAlign w:val="superscript"/>
              </w:rPr>
              <w:t>th</w:t>
            </w:r>
            <w:r>
              <w:rPr>
                <w:rFonts w:ascii="Times New Roman" w:eastAsia="Times New Roman" w:hAnsi="Times New Roman" w:cs="Times New Roman"/>
                <w:color w:val="000000"/>
                <w:sz w:val="20"/>
                <w:szCs w:val="20"/>
              </w:rPr>
              <w:t xml:space="preserve"> percentile earnings are zero in each case.</w:t>
            </w:r>
          </w:p>
          <w:p w14:paraId="7712C3DF" w14:textId="77777777" w:rsidR="000F7C00" w:rsidRPr="00BD761B" w:rsidRDefault="000F7C00" w:rsidP="00211FA3">
            <w:pPr>
              <w:spacing w:before="120" w:after="0" w:line="240" w:lineRule="auto"/>
              <w:rPr>
                <w:rFonts w:ascii="Times New Roman" w:eastAsia="Times New Roman" w:hAnsi="Times New Roman" w:cs="Times New Roman"/>
                <w:smallCaps/>
                <w:color w:val="000000"/>
                <w:sz w:val="20"/>
                <w:szCs w:val="20"/>
              </w:rPr>
            </w:pPr>
            <w:r w:rsidRPr="00876B37">
              <w:rPr>
                <w:rFonts w:ascii="Times New Roman" w:eastAsia="Times New Roman" w:hAnsi="Times New Roman" w:cs="Times New Roman"/>
                <w:i/>
                <w:color w:val="000000"/>
                <w:sz w:val="20"/>
                <w:szCs w:val="20"/>
              </w:rPr>
              <w:t>Source</w:t>
            </w:r>
            <w:r w:rsidRPr="00BD761B">
              <w:rPr>
                <w:rFonts w:ascii="Times New Roman" w:eastAsia="Times New Roman" w:hAnsi="Times New Roman" w:cs="Times New Roman"/>
                <w:color w:val="000000"/>
                <w:sz w:val="20"/>
                <w:szCs w:val="20"/>
              </w:rPr>
              <w:t>: Authors’ calculations of</w:t>
            </w:r>
            <w:r>
              <w:rPr>
                <w:rFonts w:ascii="Times New Roman" w:eastAsia="Times New Roman" w:hAnsi="Times New Roman" w:cs="Times New Roman"/>
                <w:color w:val="000000"/>
                <w:sz w:val="20"/>
                <w:szCs w:val="20"/>
              </w:rPr>
              <w:t xml:space="preserve"> March Current Population Survey 1980 and 2019 (Flood et al., 2019).</w:t>
            </w:r>
          </w:p>
        </w:tc>
      </w:tr>
    </w:tbl>
    <w:p w14:paraId="305B6E33" w14:textId="77777777" w:rsidR="000F7C00" w:rsidRDefault="000F7C00" w:rsidP="000F7C00">
      <w:pPr>
        <w:rPr>
          <w:rFonts w:ascii="Times New Roman" w:hAnsi="Times New Roman" w:cs="Times New Roman"/>
        </w:rPr>
      </w:pPr>
      <w:r>
        <w:rPr>
          <w:rFonts w:ascii="Times New Roman" w:hAnsi="Times New Roman" w:cs="Times New Roman"/>
        </w:rPr>
        <w:br w:type="page"/>
      </w:r>
    </w:p>
    <w:tbl>
      <w:tblPr>
        <w:tblW w:w="13680" w:type="dxa"/>
        <w:jc w:val="center"/>
        <w:tblLayout w:type="fixed"/>
        <w:tblLook w:val="04A0" w:firstRow="1" w:lastRow="0" w:firstColumn="1" w:lastColumn="0" w:noHBand="0" w:noVBand="1"/>
      </w:tblPr>
      <w:tblGrid>
        <w:gridCol w:w="2736"/>
        <w:gridCol w:w="1314"/>
        <w:gridCol w:w="1422"/>
        <w:gridCol w:w="985"/>
        <w:gridCol w:w="1751"/>
        <w:gridCol w:w="657"/>
        <w:gridCol w:w="2079"/>
        <w:gridCol w:w="328"/>
        <w:gridCol w:w="2078"/>
        <w:gridCol w:w="330"/>
      </w:tblGrid>
      <w:tr w:rsidR="000F7C00" w:rsidRPr="000E5B76" w14:paraId="03298F64" w14:textId="77777777" w:rsidTr="00211FA3">
        <w:trPr>
          <w:gridAfter w:val="1"/>
          <w:wAfter w:w="330" w:type="dxa"/>
          <w:trHeight w:val="251"/>
          <w:jc w:val="center"/>
        </w:trPr>
        <w:tc>
          <w:tcPr>
            <w:tcW w:w="13350" w:type="dxa"/>
            <w:gridSpan w:val="9"/>
            <w:tcBorders>
              <w:left w:val="nil"/>
              <w:bottom w:val="single" w:sz="4" w:space="0" w:color="auto"/>
              <w:right w:val="nil"/>
            </w:tcBorders>
            <w:shd w:val="clear" w:color="auto" w:fill="auto"/>
            <w:hideMark/>
          </w:tcPr>
          <w:p w14:paraId="3E9F5FC3" w14:textId="649982F0" w:rsidR="000F7C00" w:rsidRPr="00F055F4" w:rsidRDefault="000F7C00" w:rsidP="00211FA3">
            <w:pPr>
              <w:spacing w:after="120" w:line="240" w:lineRule="auto"/>
              <w:rPr>
                <w:rFonts w:ascii="Times New Roman" w:eastAsia="Times New Roman" w:hAnsi="Times New Roman" w:cs="Times New Roman"/>
                <w:b/>
                <w:bCs/>
                <w:color w:val="000000"/>
                <w:sz w:val="24"/>
                <w:szCs w:val="24"/>
              </w:rPr>
            </w:pPr>
            <w:r w:rsidRPr="00F055F4">
              <w:rPr>
                <w:rFonts w:ascii="Times New Roman" w:eastAsia="Times New Roman" w:hAnsi="Times New Roman" w:cs="Times New Roman"/>
                <w:b/>
                <w:bCs/>
                <w:color w:val="000000"/>
                <w:sz w:val="24"/>
                <w:szCs w:val="24"/>
              </w:rPr>
              <w:lastRenderedPageBreak/>
              <w:t>Table 5: Poverty Rates</w:t>
            </w:r>
            <w:r>
              <w:rPr>
                <w:rFonts w:ascii="Times New Roman" w:eastAsia="Times New Roman" w:hAnsi="Times New Roman" w:cs="Times New Roman"/>
                <w:b/>
                <w:bCs/>
                <w:color w:val="000000"/>
                <w:sz w:val="24"/>
                <w:szCs w:val="24"/>
              </w:rPr>
              <w:t xml:space="preserve">: All </w:t>
            </w:r>
            <w:r w:rsidR="00F80D04">
              <w:rPr>
                <w:rFonts w:ascii="Times New Roman" w:eastAsia="Times New Roman" w:hAnsi="Times New Roman" w:cs="Times New Roman"/>
                <w:b/>
                <w:bCs/>
                <w:color w:val="000000"/>
                <w:sz w:val="24"/>
                <w:szCs w:val="24"/>
              </w:rPr>
              <w:t xml:space="preserve">Prime-Age </w:t>
            </w:r>
            <w:r>
              <w:rPr>
                <w:rFonts w:ascii="Times New Roman" w:eastAsia="Times New Roman" w:hAnsi="Times New Roman" w:cs="Times New Roman"/>
                <w:b/>
                <w:bCs/>
                <w:color w:val="000000"/>
                <w:sz w:val="24"/>
                <w:szCs w:val="24"/>
              </w:rPr>
              <w:t>Individuals</w:t>
            </w:r>
          </w:p>
        </w:tc>
      </w:tr>
      <w:tr w:rsidR="000F7C00" w:rsidRPr="000E5B76" w14:paraId="2F091246" w14:textId="77777777" w:rsidTr="00211FA3">
        <w:tblPrEx>
          <w:jc w:val="left"/>
        </w:tblPrEx>
        <w:trPr>
          <w:trHeight w:val="560"/>
        </w:trPr>
        <w:tc>
          <w:tcPr>
            <w:tcW w:w="4050" w:type="dxa"/>
            <w:gridSpan w:val="2"/>
            <w:tcBorders>
              <w:top w:val="nil"/>
              <w:left w:val="nil"/>
              <w:bottom w:val="single" w:sz="4" w:space="0" w:color="auto"/>
              <w:right w:val="nil"/>
            </w:tcBorders>
            <w:shd w:val="clear" w:color="auto" w:fill="auto"/>
            <w:noWrap/>
            <w:vAlign w:val="bottom"/>
            <w:hideMark/>
          </w:tcPr>
          <w:p w14:paraId="6C6E90BE" w14:textId="77777777" w:rsidR="000F7C00" w:rsidRPr="00F055F4" w:rsidRDefault="000F7C00" w:rsidP="00211FA3">
            <w:pPr>
              <w:spacing w:after="0" w:line="240" w:lineRule="auto"/>
              <w:rPr>
                <w:rFonts w:ascii="Times New Roman" w:eastAsia="Times New Roman" w:hAnsi="Times New Roman" w:cs="Times New Roman"/>
                <w:b/>
                <w:bCs/>
                <w:color w:val="000000"/>
                <w:sz w:val="24"/>
                <w:szCs w:val="24"/>
              </w:rPr>
            </w:pPr>
          </w:p>
        </w:tc>
        <w:tc>
          <w:tcPr>
            <w:tcW w:w="2407" w:type="dxa"/>
            <w:gridSpan w:val="2"/>
            <w:tcBorders>
              <w:top w:val="nil"/>
              <w:left w:val="nil"/>
              <w:bottom w:val="single" w:sz="4" w:space="0" w:color="auto"/>
              <w:right w:val="nil"/>
            </w:tcBorders>
            <w:shd w:val="clear" w:color="auto" w:fill="auto"/>
            <w:vAlign w:val="bottom"/>
            <w:hideMark/>
          </w:tcPr>
          <w:p w14:paraId="68B3C9AD" w14:textId="77777777" w:rsidR="000F7C00" w:rsidRDefault="000F7C00" w:rsidP="00211FA3">
            <w:pPr>
              <w:spacing w:after="0" w:line="240" w:lineRule="auto"/>
              <w:jc w:val="center"/>
              <w:rPr>
                <w:rFonts w:ascii="Times New Roman" w:eastAsia="Times New Roman" w:hAnsi="Times New Roman" w:cs="Times New Roman"/>
                <w:color w:val="000000"/>
                <w:sz w:val="24"/>
                <w:szCs w:val="24"/>
              </w:rPr>
            </w:pPr>
            <w:r w:rsidRPr="00F055F4">
              <w:rPr>
                <w:rFonts w:ascii="Times New Roman" w:eastAsia="Times New Roman" w:hAnsi="Times New Roman" w:cs="Times New Roman"/>
                <w:color w:val="000000"/>
                <w:sz w:val="24"/>
                <w:szCs w:val="24"/>
              </w:rPr>
              <w:t>Deep Poverty</w:t>
            </w:r>
          </w:p>
          <w:p w14:paraId="544CDDF8" w14:textId="77777777" w:rsidR="000F7C00" w:rsidRPr="00F055F4" w:rsidRDefault="000F7C00" w:rsidP="00211FA3">
            <w:pPr>
              <w:spacing w:after="0" w:line="240" w:lineRule="auto"/>
              <w:jc w:val="center"/>
              <w:rPr>
                <w:rFonts w:ascii="Times New Roman" w:eastAsia="Times New Roman" w:hAnsi="Times New Roman" w:cs="Times New Roman"/>
                <w:color w:val="000000"/>
                <w:sz w:val="24"/>
                <w:szCs w:val="24"/>
              </w:rPr>
            </w:pPr>
            <w:r w:rsidRPr="00F055F4">
              <w:rPr>
                <w:rFonts w:ascii="Times New Roman" w:eastAsia="Times New Roman" w:hAnsi="Times New Roman" w:cs="Times New Roman"/>
                <w:color w:val="000000"/>
                <w:sz w:val="24"/>
                <w:szCs w:val="24"/>
              </w:rPr>
              <w:t>(&lt;50% FPL)</w:t>
            </w:r>
          </w:p>
        </w:tc>
        <w:tc>
          <w:tcPr>
            <w:tcW w:w="2408" w:type="dxa"/>
            <w:gridSpan w:val="2"/>
            <w:tcBorders>
              <w:top w:val="nil"/>
              <w:left w:val="nil"/>
              <w:bottom w:val="single" w:sz="4" w:space="0" w:color="auto"/>
              <w:right w:val="nil"/>
            </w:tcBorders>
            <w:shd w:val="clear" w:color="auto" w:fill="auto"/>
            <w:vAlign w:val="center"/>
            <w:hideMark/>
          </w:tcPr>
          <w:p w14:paraId="23EC510E" w14:textId="77777777" w:rsidR="000F7C00" w:rsidRPr="00F055F4" w:rsidRDefault="000F7C00" w:rsidP="00211FA3">
            <w:pPr>
              <w:spacing w:after="0" w:line="240" w:lineRule="auto"/>
              <w:jc w:val="center"/>
              <w:rPr>
                <w:rFonts w:ascii="Times New Roman" w:eastAsia="Times New Roman" w:hAnsi="Times New Roman" w:cs="Times New Roman"/>
                <w:color w:val="000000"/>
                <w:sz w:val="24"/>
                <w:szCs w:val="24"/>
              </w:rPr>
            </w:pPr>
            <w:r w:rsidRPr="00F055F4">
              <w:rPr>
                <w:rFonts w:ascii="Times New Roman" w:eastAsia="Times New Roman" w:hAnsi="Times New Roman" w:cs="Times New Roman"/>
                <w:color w:val="000000"/>
                <w:sz w:val="24"/>
                <w:szCs w:val="24"/>
              </w:rPr>
              <w:t>Poverty (FPL)</w:t>
            </w:r>
          </w:p>
        </w:tc>
        <w:tc>
          <w:tcPr>
            <w:tcW w:w="2407" w:type="dxa"/>
            <w:gridSpan w:val="2"/>
            <w:tcBorders>
              <w:top w:val="nil"/>
              <w:left w:val="nil"/>
              <w:bottom w:val="single" w:sz="4" w:space="0" w:color="auto"/>
              <w:right w:val="nil"/>
            </w:tcBorders>
            <w:shd w:val="clear" w:color="auto" w:fill="auto"/>
            <w:vAlign w:val="bottom"/>
            <w:hideMark/>
          </w:tcPr>
          <w:p w14:paraId="3BEE5762" w14:textId="77777777" w:rsidR="000F7C00" w:rsidRDefault="000F7C00" w:rsidP="00211FA3">
            <w:pPr>
              <w:spacing w:after="0" w:line="240" w:lineRule="auto"/>
              <w:jc w:val="center"/>
              <w:rPr>
                <w:rFonts w:ascii="Times New Roman" w:eastAsia="Times New Roman" w:hAnsi="Times New Roman" w:cs="Times New Roman"/>
                <w:color w:val="000000"/>
                <w:sz w:val="24"/>
                <w:szCs w:val="24"/>
              </w:rPr>
            </w:pPr>
            <w:r w:rsidRPr="00F055F4">
              <w:rPr>
                <w:rFonts w:ascii="Times New Roman" w:eastAsia="Times New Roman" w:hAnsi="Times New Roman" w:cs="Times New Roman"/>
                <w:color w:val="000000"/>
                <w:sz w:val="24"/>
                <w:szCs w:val="24"/>
              </w:rPr>
              <w:t>Near Poverty</w:t>
            </w:r>
          </w:p>
          <w:p w14:paraId="419B2783" w14:textId="77777777" w:rsidR="000F7C00" w:rsidRPr="00F055F4" w:rsidRDefault="000F7C00" w:rsidP="00211FA3">
            <w:pPr>
              <w:spacing w:after="0" w:line="240" w:lineRule="auto"/>
              <w:jc w:val="center"/>
              <w:rPr>
                <w:rFonts w:ascii="Times New Roman" w:eastAsia="Times New Roman" w:hAnsi="Times New Roman" w:cs="Times New Roman"/>
                <w:color w:val="000000"/>
                <w:sz w:val="24"/>
                <w:szCs w:val="24"/>
              </w:rPr>
            </w:pPr>
            <w:r w:rsidRPr="00F055F4">
              <w:rPr>
                <w:rFonts w:ascii="Times New Roman" w:eastAsia="Times New Roman" w:hAnsi="Times New Roman" w:cs="Times New Roman"/>
                <w:color w:val="000000"/>
                <w:sz w:val="24"/>
                <w:szCs w:val="24"/>
              </w:rPr>
              <w:t>(&lt;150% FPL)</w:t>
            </w:r>
          </w:p>
        </w:tc>
        <w:tc>
          <w:tcPr>
            <w:tcW w:w="2408" w:type="dxa"/>
            <w:gridSpan w:val="2"/>
            <w:tcBorders>
              <w:top w:val="nil"/>
              <w:left w:val="nil"/>
              <w:bottom w:val="single" w:sz="4" w:space="0" w:color="auto"/>
              <w:right w:val="nil"/>
            </w:tcBorders>
            <w:shd w:val="clear" w:color="auto" w:fill="auto"/>
            <w:vAlign w:val="bottom"/>
            <w:hideMark/>
          </w:tcPr>
          <w:p w14:paraId="7847AF6B" w14:textId="77777777" w:rsidR="000F7C00" w:rsidRDefault="000F7C00" w:rsidP="00211FA3">
            <w:pPr>
              <w:spacing w:after="0" w:line="240" w:lineRule="auto"/>
              <w:jc w:val="center"/>
              <w:rPr>
                <w:rFonts w:ascii="Times New Roman" w:eastAsia="Times New Roman" w:hAnsi="Times New Roman" w:cs="Times New Roman"/>
                <w:color w:val="000000"/>
                <w:sz w:val="24"/>
                <w:szCs w:val="24"/>
              </w:rPr>
            </w:pPr>
            <w:r w:rsidRPr="00F055F4">
              <w:rPr>
                <w:rFonts w:ascii="Times New Roman" w:eastAsia="Times New Roman" w:hAnsi="Times New Roman" w:cs="Times New Roman"/>
                <w:color w:val="000000"/>
                <w:sz w:val="24"/>
                <w:szCs w:val="24"/>
              </w:rPr>
              <w:t>Low Income</w:t>
            </w:r>
          </w:p>
          <w:p w14:paraId="71218C1C" w14:textId="77777777" w:rsidR="000F7C00" w:rsidRPr="00F055F4" w:rsidRDefault="000F7C00" w:rsidP="00211FA3">
            <w:pPr>
              <w:spacing w:after="0" w:line="240" w:lineRule="auto"/>
              <w:jc w:val="center"/>
              <w:rPr>
                <w:rFonts w:ascii="Times New Roman" w:eastAsia="Times New Roman" w:hAnsi="Times New Roman" w:cs="Times New Roman"/>
                <w:color w:val="000000"/>
                <w:sz w:val="24"/>
                <w:szCs w:val="24"/>
              </w:rPr>
            </w:pPr>
            <w:r w:rsidRPr="00F055F4">
              <w:rPr>
                <w:rFonts w:ascii="Times New Roman" w:eastAsia="Times New Roman" w:hAnsi="Times New Roman" w:cs="Times New Roman"/>
                <w:color w:val="000000"/>
                <w:sz w:val="24"/>
                <w:szCs w:val="24"/>
              </w:rPr>
              <w:t>(&lt;200% FPL)</w:t>
            </w:r>
          </w:p>
        </w:tc>
      </w:tr>
      <w:tr w:rsidR="000F7C00" w:rsidRPr="000E5B76" w14:paraId="4E272473" w14:textId="77777777" w:rsidTr="00211FA3">
        <w:tblPrEx>
          <w:jc w:val="left"/>
        </w:tblPrEx>
        <w:trPr>
          <w:trHeight w:val="87"/>
        </w:trPr>
        <w:tc>
          <w:tcPr>
            <w:tcW w:w="4050" w:type="dxa"/>
            <w:gridSpan w:val="2"/>
            <w:tcBorders>
              <w:top w:val="single" w:sz="4" w:space="0" w:color="auto"/>
              <w:left w:val="nil"/>
              <w:bottom w:val="nil"/>
              <w:right w:val="nil"/>
            </w:tcBorders>
            <w:shd w:val="clear" w:color="auto" w:fill="auto"/>
            <w:noWrap/>
            <w:vAlign w:val="bottom"/>
            <w:hideMark/>
          </w:tcPr>
          <w:p w14:paraId="0A0EC3E7" w14:textId="77777777" w:rsidR="000F7C00" w:rsidRPr="00F055F4" w:rsidRDefault="000F7C00" w:rsidP="00211FA3">
            <w:pPr>
              <w:spacing w:after="0" w:line="240" w:lineRule="auto"/>
              <w:rPr>
                <w:rFonts w:ascii="Times New Roman" w:eastAsia="Times New Roman" w:hAnsi="Times New Roman" w:cs="Times New Roman"/>
                <w:color w:val="000000"/>
                <w:sz w:val="24"/>
                <w:szCs w:val="24"/>
              </w:rPr>
            </w:pPr>
          </w:p>
        </w:tc>
        <w:tc>
          <w:tcPr>
            <w:tcW w:w="2407" w:type="dxa"/>
            <w:gridSpan w:val="2"/>
            <w:tcBorders>
              <w:top w:val="single" w:sz="4" w:space="0" w:color="auto"/>
              <w:left w:val="nil"/>
              <w:bottom w:val="nil"/>
              <w:right w:val="nil"/>
            </w:tcBorders>
            <w:shd w:val="clear" w:color="auto" w:fill="auto"/>
            <w:vAlign w:val="bottom"/>
            <w:hideMark/>
          </w:tcPr>
          <w:p w14:paraId="737E186E" w14:textId="77777777" w:rsidR="000F7C00" w:rsidRPr="00F055F4" w:rsidRDefault="000F7C00" w:rsidP="00211FA3">
            <w:pPr>
              <w:spacing w:after="0" w:line="240" w:lineRule="auto"/>
              <w:jc w:val="center"/>
              <w:rPr>
                <w:rFonts w:ascii="Times New Roman" w:eastAsia="Times New Roman" w:hAnsi="Times New Roman" w:cs="Times New Roman"/>
                <w:sz w:val="24"/>
                <w:szCs w:val="24"/>
              </w:rPr>
            </w:pPr>
          </w:p>
        </w:tc>
        <w:tc>
          <w:tcPr>
            <w:tcW w:w="2408" w:type="dxa"/>
            <w:gridSpan w:val="2"/>
            <w:tcBorders>
              <w:top w:val="single" w:sz="4" w:space="0" w:color="auto"/>
              <w:left w:val="nil"/>
              <w:bottom w:val="nil"/>
              <w:right w:val="nil"/>
            </w:tcBorders>
            <w:shd w:val="clear" w:color="auto" w:fill="auto"/>
            <w:vAlign w:val="bottom"/>
            <w:hideMark/>
          </w:tcPr>
          <w:p w14:paraId="477C37E9" w14:textId="77777777" w:rsidR="000F7C00" w:rsidRPr="00F055F4" w:rsidRDefault="000F7C00" w:rsidP="00211FA3">
            <w:pPr>
              <w:spacing w:after="0" w:line="240" w:lineRule="auto"/>
              <w:jc w:val="center"/>
              <w:rPr>
                <w:rFonts w:ascii="Times New Roman" w:eastAsia="Times New Roman" w:hAnsi="Times New Roman" w:cs="Times New Roman"/>
                <w:sz w:val="24"/>
                <w:szCs w:val="24"/>
              </w:rPr>
            </w:pPr>
          </w:p>
        </w:tc>
        <w:tc>
          <w:tcPr>
            <w:tcW w:w="2407" w:type="dxa"/>
            <w:gridSpan w:val="2"/>
            <w:tcBorders>
              <w:top w:val="single" w:sz="4" w:space="0" w:color="auto"/>
              <w:left w:val="nil"/>
              <w:bottom w:val="nil"/>
              <w:right w:val="nil"/>
            </w:tcBorders>
            <w:shd w:val="clear" w:color="auto" w:fill="auto"/>
            <w:vAlign w:val="bottom"/>
            <w:hideMark/>
          </w:tcPr>
          <w:p w14:paraId="0379BA8B" w14:textId="77777777" w:rsidR="000F7C00" w:rsidRPr="00F055F4" w:rsidRDefault="000F7C00" w:rsidP="00211FA3">
            <w:pPr>
              <w:spacing w:after="0" w:line="240" w:lineRule="auto"/>
              <w:jc w:val="center"/>
              <w:rPr>
                <w:rFonts w:ascii="Times New Roman" w:eastAsia="Times New Roman" w:hAnsi="Times New Roman" w:cs="Times New Roman"/>
                <w:sz w:val="24"/>
                <w:szCs w:val="24"/>
              </w:rPr>
            </w:pPr>
          </w:p>
        </w:tc>
        <w:tc>
          <w:tcPr>
            <w:tcW w:w="2408" w:type="dxa"/>
            <w:gridSpan w:val="2"/>
            <w:tcBorders>
              <w:top w:val="single" w:sz="4" w:space="0" w:color="auto"/>
              <w:left w:val="nil"/>
              <w:bottom w:val="nil"/>
              <w:right w:val="nil"/>
            </w:tcBorders>
            <w:shd w:val="clear" w:color="auto" w:fill="auto"/>
            <w:vAlign w:val="bottom"/>
            <w:hideMark/>
          </w:tcPr>
          <w:p w14:paraId="6FF61240" w14:textId="77777777" w:rsidR="000F7C00" w:rsidRPr="00F055F4" w:rsidRDefault="000F7C00" w:rsidP="00211FA3">
            <w:pPr>
              <w:spacing w:after="0" w:line="240" w:lineRule="auto"/>
              <w:jc w:val="center"/>
              <w:rPr>
                <w:rFonts w:ascii="Times New Roman" w:eastAsia="Times New Roman" w:hAnsi="Times New Roman" w:cs="Times New Roman"/>
                <w:sz w:val="24"/>
                <w:szCs w:val="24"/>
              </w:rPr>
            </w:pPr>
          </w:p>
        </w:tc>
      </w:tr>
      <w:tr w:rsidR="000F7C00" w:rsidRPr="000E5B76" w14:paraId="6DBBD5A8" w14:textId="77777777" w:rsidTr="00211FA3">
        <w:tblPrEx>
          <w:jc w:val="left"/>
        </w:tblPrEx>
        <w:trPr>
          <w:trHeight w:val="280"/>
        </w:trPr>
        <w:tc>
          <w:tcPr>
            <w:tcW w:w="4050" w:type="dxa"/>
            <w:gridSpan w:val="2"/>
            <w:tcBorders>
              <w:top w:val="nil"/>
              <w:left w:val="nil"/>
              <w:bottom w:val="nil"/>
              <w:right w:val="nil"/>
            </w:tcBorders>
            <w:shd w:val="clear" w:color="auto" w:fill="auto"/>
            <w:noWrap/>
            <w:vAlign w:val="bottom"/>
            <w:hideMark/>
          </w:tcPr>
          <w:p w14:paraId="4EAE2BB7" w14:textId="77777777" w:rsidR="000F7C00" w:rsidRPr="00F055F4" w:rsidRDefault="000F7C00" w:rsidP="00211FA3">
            <w:pPr>
              <w:spacing w:after="0" w:line="240" w:lineRule="auto"/>
              <w:rPr>
                <w:rFonts w:ascii="Times New Roman" w:eastAsia="Times New Roman" w:hAnsi="Times New Roman" w:cs="Times New Roman"/>
                <w:color w:val="000000"/>
                <w:sz w:val="24"/>
                <w:szCs w:val="24"/>
              </w:rPr>
            </w:pPr>
            <w:r w:rsidRPr="00A44656">
              <w:rPr>
                <w:rFonts w:ascii="Times New Roman" w:eastAsia="Times New Roman" w:hAnsi="Times New Roman" w:cs="Times New Roman"/>
                <w:b/>
                <w:color w:val="000000"/>
                <w:sz w:val="24"/>
                <w:szCs w:val="24"/>
              </w:rPr>
              <w:t>Panel A: Observed</w:t>
            </w:r>
          </w:p>
        </w:tc>
        <w:tc>
          <w:tcPr>
            <w:tcW w:w="2407" w:type="dxa"/>
            <w:gridSpan w:val="2"/>
            <w:tcBorders>
              <w:top w:val="nil"/>
              <w:left w:val="nil"/>
              <w:bottom w:val="nil"/>
              <w:right w:val="nil"/>
            </w:tcBorders>
            <w:shd w:val="clear" w:color="auto" w:fill="auto"/>
            <w:vAlign w:val="bottom"/>
            <w:hideMark/>
          </w:tcPr>
          <w:p w14:paraId="0ACFE074" w14:textId="77777777" w:rsidR="000F7C00" w:rsidRPr="00F055F4" w:rsidRDefault="000F7C00" w:rsidP="00211FA3">
            <w:pPr>
              <w:spacing w:after="0" w:line="240" w:lineRule="auto"/>
              <w:jc w:val="center"/>
              <w:rPr>
                <w:rFonts w:ascii="Times New Roman" w:eastAsia="Times New Roman" w:hAnsi="Times New Roman" w:cs="Times New Roman"/>
                <w:color w:val="000000"/>
                <w:sz w:val="24"/>
                <w:szCs w:val="24"/>
              </w:rPr>
            </w:pPr>
          </w:p>
        </w:tc>
        <w:tc>
          <w:tcPr>
            <w:tcW w:w="2408" w:type="dxa"/>
            <w:gridSpan w:val="2"/>
            <w:tcBorders>
              <w:top w:val="nil"/>
              <w:left w:val="nil"/>
              <w:bottom w:val="nil"/>
              <w:right w:val="nil"/>
            </w:tcBorders>
            <w:shd w:val="clear" w:color="auto" w:fill="auto"/>
            <w:vAlign w:val="bottom"/>
            <w:hideMark/>
          </w:tcPr>
          <w:p w14:paraId="63E274DD" w14:textId="77777777" w:rsidR="000F7C00" w:rsidRPr="00F055F4" w:rsidRDefault="000F7C00" w:rsidP="00211FA3">
            <w:pPr>
              <w:spacing w:after="0" w:line="240" w:lineRule="auto"/>
              <w:jc w:val="center"/>
              <w:rPr>
                <w:rFonts w:ascii="Times New Roman" w:eastAsia="Times New Roman" w:hAnsi="Times New Roman" w:cs="Times New Roman"/>
                <w:sz w:val="24"/>
                <w:szCs w:val="24"/>
              </w:rPr>
            </w:pPr>
          </w:p>
        </w:tc>
        <w:tc>
          <w:tcPr>
            <w:tcW w:w="2407" w:type="dxa"/>
            <w:gridSpan w:val="2"/>
            <w:tcBorders>
              <w:top w:val="nil"/>
              <w:left w:val="nil"/>
              <w:bottom w:val="nil"/>
              <w:right w:val="nil"/>
            </w:tcBorders>
            <w:shd w:val="clear" w:color="auto" w:fill="auto"/>
            <w:vAlign w:val="bottom"/>
            <w:hideMark/>
          </w:tcPr>
          <w:p w14:paraId="01AA415E" w14:textId="77777777" w:rsidR="000F7C00" w:rsidRPr="00F055F4" w:rsidRDefault="000F7C00" w:rsidP="00211FA3">
            <w:pPr>
              <w:spacing w:after="0" w:line="240" w:lineRule="auto"/>
              <w:jc w:val="center"/>
              <w:rPr>
                <w:rFonts w:ascii="Times New Roman" w:eastAsia="Times New Roman" w:hAnsi="Times New Roman" w:cs="Times New Roman"/>
                <w:sz w:val="24"/>
                <w:szCs w:val="24"/>
              </w:rPr>
            </w:pPr>
          </w:p>
        </w:tc>
        <w:tc>
          <w:tcPr>
            <w:tcW w:w="2408" w:type="dxa"/>
            <w:gridSpan w:val="2"/>
            <w:tcBorders>
              <w:top w:val="nil"/>
              <w:left w:val="nil"/>
              <w:bottom w:val="nil"/>
              <w:right w:val="nil"/>
            </w:tcBorders>
            <w:shd w:val="clear" w:color="auto" w:fill="auto"/>
            <w:vAlign w:val="bottom"/>
            <w:hideMark/>
          </w:tcPr>
          <w:p w14:paraId="7B9A6905" w14:textId="77777777" w:rsidR="000F7C00" w:rsidRPr="00F055F4" w:rsidRDefault="000F7C00" w:rsidP="00211FA3">
            <w:pPr>
              <w:spacing w:after="0" w:line="240" w:lineRule="auto"/>
              <w:jc w:val="center"/>
              <w:rPr>
                <w:rFonts w:ascii="Times New Roman" w:eastAsia="Times New Roman" w:hAnsi="Times New Roman" w:cs="Times New Roman"/>
                <w:sz w:val="24"/>
                <w:szCs w:val="24"/>
              </w:rPr>
            </w:pPr>
          </w:p>
        </w:tc>
      </w:tr>
      <w:tr w:rsidR="000F7C00" w:rsidRPr="000E5B76" w14:paraId="09638CE8" w14:textId="77777777" w:rsidTr="00211FA3">
        <w:tblPrEx>
          <w:jc w:val="left"/>
        </w:tblPrEx>
        <w:trPr>
          <w:trHeight w:val="280"/>
        </w:trPr>
        <w:tc>
          <w:tcPr>
            <w:tcW w:w="4050" w:type="dxa"/>
            <w:gridSpan w:val="2"/>
            <w:tcBorders>
              <w:top w:val="nil"/>
              <w:left w:val="nil"/>
              <w:bottom w:val="nil"/>
              <w:right w:val="nil"/>
            </w:tcBorders>
            <w:shd w:val="clear" w:color="auto" w:fill="auto"/>
            <w:noWrap/>
            <w:vAlign w:val="bottom"/>
            <w:hideMark/>
          </w:tcPr>
          <w:p w14:paraId="5A00888A" w14:textId="77777777" w:rsidR="000F7C00" w:rsidRPr="00F055F4" w:rsidRDefault="000F7C00" w:rsidP="00211F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055F4">
              <w:rPr>
                <w:rFonts w:ascii="Times New Roman" w:eastAsia="Times New Roman" w:hAnsi="Times New Roman" w:cs="Times New Roman"/>
                <w:color w:val="000000"/>
                <w:sz w:val="24"/>
                <w:szCs w:val="24"/>
              </w:rPr>
              <w:t>1979</w:t>
            </w:r>
          </w:p>
        </w:tc>
        <w:tc>
          <w:tcPr>
            <w:tcW w:w="2407" w:type="dxa"/>
            <w:gridSpan w:val="2"/>
            <w:tcBorders>
              <w:top w:val="nil"/>
              <w:left w:val="nil"/>
              <w:bottom w:val="nil"/>
              <w:right w:val="nil"/>
            </w:tcBorders>
            <w:shd w:val="clear" w:color="auto" w:fill="auto"/>
            <w:noWrap/>
            <w:vAlign w:val="bottom"/>
            <w:hideMark/>
          </w:tcPr>
          <w:p w14:paraId="6182EF5F" w14:textId="77777777" w:rsidR="000F7C00" w:rsidRPr="00F055F4" w:rsidRDefault="000F7C00" w:rsidP="00211FA3">
            <w:pPr>
              <w:spacing w:after="0" w:line="240" w:lineRule="auto"/>
              <w:jc w:val="center"/>
              <w:rPr>
                <w:rFonts w:ascii="Times New Roman" w:eastAsia="Times New Roman" w:hAnsi="Times New Roman" w:cs="Times New Roman"/>
                <w:color w:val="000000"/>
                <w:sz w:val="24"/>
                <w:szCs w:val="24"/>
              </w:rPr>
            </w:pPr>
            <w:r w:rsidRPr="00F055F4">
              <w:rPr>
                <w:rFonts w:ascii="Times New Roman" w:eastAsia="Times New Roman" w:hAnsi="Times New Roman" w:cs="Times New Roman"/>
                <w:color w:val="000000"/>
                <w:sz w:val="24"/>
                <w:szCs w:val="24"/>
              </w:rPr>
              <w:t>2.97%</w:t>
            </w:r>
          </w:p>
        </w:tc>
        <w:tc>
          <w:tcPr>
            <w:tcW w:w="2408" w:type="dxa"/>
            <w:gridSpan w:val="2"/>
            <w:tcBorders>
              <w:top w:val="nil"/>
              <w:left w:val="nil"/>
              <w:bottom w:val="nil"/>
              <w:right w:val="nil"/>
            </w:tcBorders>
            <w:shd w:val="clear" w:color="auto" w:fill="auto"/>
            <w:noWrap/>
            <w:vAlign w:val="bottom"/>
            <w:hideMark/>
          </w:tcPr>
          <w:p w14:paraId="7725F629" w14:textId="77777777" w:rsidR="000F7C00" w:rsidRPr="00F055F4" w:rsidRDefault="000F7C00" w:rsidP="00211FA3">
            <w:pPr>
              <w:spacing w:after="0" w:line="240" w:lineRule="auto"/>
              <w:jc w:val="center"/>
              <w:rPr>
                <w:rFonts w:ascii="Times New Roman" w:eastAsia="Times New Roman" w:hAnsi="Times New Roman" w:cs="Times New Roman"/>
                <w:color w:val="000000"/>
                <w:sz w:val="24"/>
                <w:szCs w:val="24"/>
              </w:rPr>
            </w:pPr>
            <w:r w:rsidRPr="00F055F4">
              <w:rPr>
                <w:rFonts w:ascii="Times New Roman" w:eastAsia="Times New Roman" w:hAnsi="Times New Roman" w:cs="Times New Roman"/>
                <w:color w:val="000000"/>
                <w:sz w:val="24"/>
                <w:szCs w:val="24"/>
              </w:rPr>
              <w:t>8.21%</w:t>
            </w:r>
          </w:p>
        </w:tc>
        <w:tc>
          <w:tcPr>
            <w:tcW w:w="2407" w:type="dxa"/>
            <w:gridSpan w:val="2"/>
            <w:tcBorders>
              <w:top w:val="nil"/>
              <w:left w:val="nil"/>
              <w:bottom w:val="nil"/>
              <w:right w:val="nil"/>
            </w:tcBorders>
            <w:shd w:val="clear" w:color="auto" w:fill="auto"/>
            <w:noWrap/>
            <w:vAlign w:val="bottom"/>
            <w:hideMark/>
          </w:tcPr>
          <w:p w14:paraId="06617D42" w14:textId="77777777" w:rsidR="000F7C00" w:rsidRPr="00F055F4" w:rsidRDefault="000F7C00" w:rsidP="00211FA3">
            <w:pPr>
              <w:spacing w:after="0" w:line="240" w:lineRule="auto"/>
              <w:jc w:val="center"/>
              <w:rPr>
                <w:rFonts w:ascii="Times New Roman" w:eastAsia="Times New Roman" w:hAnsi="Times New Roman" w:cs="Times New Roman"/>
                <w:color w:val="000000"/>
                <w:sz w:val="24"/>
                <w:szCs w:val="24"/>
              </w:rPr>
            </w:pPr>
            <w:r w:rsidRPr="00F055F4">
              <w:rPr>
                <w:rFonts w:ascii="Times New Roman" w:eastAsia="Times New Roman" w:hAnsi="Times New Roman" w:cs="Times New Roman"/>
                <w:color w:val="000000"/>
                <w:sz w:val="24"/>
                <w:szCs w:val="24"/>
              </w:rPr>
              <w:t>14.91%</w:t>
            </w:r>
          </w:p>
        </w:tc>
        <w:tc>
          <w:tcPr>
            <w:tcW w:w="2408" w:type="dxa"/>
            <w:gridSpan w:val="2"/>
            <w:tcBorders>
              <w:top w:val="nil"/>
              <w:left w:val="nil"/>
              <w:bottom w:val="nil"/>
              <w:right w:val="nil"/>
            </w:tcBorders>
            <w:shd w:val="clear" w:color="auto" w:fill="auto"/>
            <w:noWrap/>
            <w:vAlign w:val="bottom"/>
            <w:hideMark/>
          </w:tcPr>
          <w:p w14:paraId="650EF1EA" w14:textId="77777777" w:rsidR="000F7C00" w:rsidRPr="00F055F4" w:rsidRDefault="000F7C00" w:rsidP="00211FA3">
            <w:pPr>
              <w:spacing w:after="0" w:line="240" w:lineRule="auto"/>
              <w:jc w:val="center"/>
              <w:rPr>
                <w:rFonts w:ascii="Times New Roman" w:eastAsia="Times New Roman" w:hAnsi="Times New Roman" w:cs="Times New Roman"/>
                <w:color w:val="000000"/>
                <w:sz w:val="24"/>
                <w:szCs w:val="24"/>
              </w:rPr>
            </w:pPr>
            <w:r w:rsidRPr="00F055F4">
              <w:rPr>
                <w:rFonts w:ascii="Times New Roman" w:eastAsia="Times New Roman" w:hAnsi="Times New Roman" w:cs="Times New Roman"/>
                <w:color w:val="000000"/>
                <w:sz w:val="24"/>
                <w:szCs w:val="24"/>
              </w:rPr>
              <w:t>23.22%</w:t>
            </w:r>
          </w:p>
        </w:tc>
      </w:tr>
      <w:tr w:rsidR="000F7C00" w:rsidRPr="000E5B76" w14:paraId="316DF7D7" w14:textId="77777777" w:rsidTr="00211FA3">
        <w:tblPrEx>
          <w:jc w:val="left"/>
        </w:tblPrEx>
        <w:trPr>
          <w:trHeight w:val="280"/>
        </w:trPr>
        <w:tc>
          <w:tcPr>
            <w:tcW w:w="4050" w:type="dxa"/>
            <w:gridSpan w:val="2"/>
            <w:tcBorders>
              <w:top w:val="nil"/>
              <w:left w:val="nil"/>
              <w:bottom w:val="nil"/>
              <w:right w:val="nil"/>
            </w:tcBorders>
            <w:shd w:val="clear" w:color="auto" w:fill="auto"/>
            <w:noWrap/>
            <w:vAlign w:val="bottom"/>
            <w:hideMark/>
          </w:tcPr>
          <w:p w14:paraId="4B214D2A" w14:textId="77777777" w:rsidR="000F7C00" w:rsidRPr="00F055F4" w:rsidRDefault="000F7C00" w:rsidP="00211F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055F4">
              <w:rPr>
                <w:rFonts w:ascii="Times New Roman" w:eastAsia="Times New Roman" w:hAnsi="Times New Roman" w:cs="Times New Roman"/>
                <w:color w:val="000000"/>
                <w:sz w:val="24"/>
                <w:szCs w:val="24"/>
              </w:rPr>
              <w:t>2018</w:t>
            </w:r>
          </w:p>
        </w:tc>
        <w:tc>
          <w:tcPr>
            <w:tcW w:w="2407" w:type="dxa"/>
            <w:gridSpan w:val="2"/>
            <w:tcBorders>
              <w:top w:val="nil"/>
              <w:left w:val="nil"/>
              <w:bottom w:val="nil"/>
              <w:right w:val="nil"/>
            </w:tcBorders>
            <w:shd w:val="clear" w:color="auto" w:fill="auto"/>
            <w:noWrap/>
            <w:vAlign w:val="bottom"/>
            <w:hideMark/>
          </w:tcPr>
          <w:p w14:paraId="579A1687" w14:textId="77777777" w:rsidR="000F7C00" w:rsidRPr="00F055F4" w:rsidRDefault="000F7C00" w:rsidP="00211FA3">
            <w:pPr>
              <w:spacing w:after="0" w:line="240" w:lineRule="auto"/>
              <w:jc w:val="center"/>
              <w:rPr>
                <w:rFonts w:ascii="Times New Roman" w:eastAsia="Times New Roman" w:hAnsi="Times New Roman" w:cs="Times New Roman"/>
                <w:color w:val="000000"/>
                <w:sz w:val="24"/>
                <w:szCs w:val="24"/>
              </w:rPr>
            </w:pPr>
            <w:r w:rsidRPr="00F055F4">
              <w:rPr>
                <w:rFonts w:ascii="Times New Roman" w:eastAsia="Times New Roman" w:hAnsi="Times New Roman" w:cs="Times New Roman"/>
                <w:color w:val="000000"/>
                <w:sz w:val="24"/>
                <w:szCs w:val="24"/>
              </w:rPr>
              <w:t>5.59%</w:t>
            </w:r>
          </w:p>
        </w:tc>
        <w:tc>
          <w:tcPr>
            <w:tcW w:w="2408" w:type="dxa"/>
            <w:gridSpan w:val="2"/>
            <w:tcBorders>
              <w:top w:val="nil"/>
              <w:left w:val="nil"/>
              <w:bottom w:val="nil"/>
              <w:right w:val="nil"/>
            </w:tcBorders>
            <w:shd w:val="clear" w:color="auto" w:fill="auto"/>
            <w:noWrap/>
            <w:vAlign w:val="bottom"/>
            <w:hideMark/>
          </w:tcPr>
          <w:p w14:paraId="4D5F23D1" w14:textId="77777777" w:rsidR="000F7C00" w:rsidRPr="00F055F4" w:rsidRDefault="000F7C00" w:rsidP="00211FA3">
            <w:pPr>
              <w:spacing w:after="0" w:line="240" w:lineRule="auto"/>
              <w:jc w:val="center"/>
              <w:rPr>
                <w:rFonts w:ascii="Times New Roman" w:eastAsia="Times New Roman" w:hAnsi="Times New Roman" w:cs="Times New Roman"/>
                <w:color w:val="000000"/>
                <w:sz w:val="24"/>
                <w:szCs w:val="24"/>
              </w:rPr>
            </w:pPr>
            <w:r w:rsidRPr="00F055F4">
              <w:rPr>
                <w:rFonts w:ascii="Times New Roman" w:eastAsia="Times New Roman" w:hAnsi="Times New Roman" w:cs="Times New Roman"/>
                <w:color w:val="000000"/>
                <w:sz w:val="24"/>
                <w:szCs w:val="24"/>
              </w:rPr>
              <w:t>11.30%</w:t>
            </w:r>
          </w:p>
        </w:tc>
        <w:tc>
          <w:tcPr>
            <w:tcW w:w="2407" w:type="dxa"/>
            <w:gridSpan w:val="2"/>
            <w:tcBorders>
              <w:top w:val="nil"/>
              <w:left w:val="nil"/>
              <w:bottom w:val="nil"/>
              <w:right w:val="nil"/>
            </w:tcBorders>
            <w:shd w:val="clear" w:color="auto" w:fill="auto"/>
            <w:noWrap/>
            <w:vAlign w:val="bottom"/>
            <w:hideMark/>
          </w:tcPr>
          <w:p w14:paraId="55EDDC8B" w14:textId="77777777" w:rsidR="000F7C00" w:rsidRPr="00F055F4" w:rsidRDefault="000F7C00" w:rsidP="00211FA3">
            <w:pPr>
              <w:spacing w:after="0" w:line="240" w:lineRule="auto"/>
              <w:jc w:val="center"/>
              <w:rPr>
                <w:rFonts w:ascii="Times New Roman" w:eastAsia="Times New Roman" w:hAnsi="Times New Roman" w:cs="Times New Roman"/>
                <w:color w:val="000000"/>
                <w:sz w:val="24"/>
                <w:szCs w:val="24"/>
              </w:rPr>
            </w:pPr>
            <w:r w:rsidRPr="00F055F4">
              <w:rPr>
                <w:rFonts w:ascii="Times New Roman" w:eastAsia="Times New Roman" w:hAnsi="Times New Roman" w:cs="Times New Roman"/>
                <w:color w:val="000000"/>
                <w:sz w:val="24"/>
                <w:szCs w:val="24"/>
              </w:rPr>
              <w:t>18.48%</w:t>
            </w:r>
          </w:p>
        </w:tc>
        <w:tc>
          <w:tcPr>
            <w:tcW w:w="2408" w:type="dxa"/>
            <w:gridSpan w:val="2"/>
            <w:tcBorders>
              <w:top w:val="nil"/>
              <w:left w:val="nil"/>
              <w:bottom w:val="nil"/>
              <w:right w:val="nil"/>
            </w:tcBorders>
            <w:shd w:val="clear" w:color="auto" w:fill="auto"/>
            <w:noWrap/>
            <w:vAlign w:val="bottom"/>
            <w:hideMark/>
          </w:tcPr>
          <w:p w14:paraId="2132B59C" w14:textId="77777777" w:rsidR="000F7C00" w:rsidRPr="00F055F4" w:rsidRDefault="000F7C00" w:rsidP="00211FA3">
            <w:pPr>
              <w:spacing w:after="0" w:line="240" w:lineRule="auto"/>
              <w:jc w:val="center"/>
              <w:rPr>
                <w:rFonts w:ascii="Times New Roman" w:eastAsia="Times New Roman" w:hAnsi="Times New Roman" w:cs="Times New Roman"/>
                <w:color w:val="000000"/>
                <w:sz w:val="24"/>
                <w:szCs w:val="24"/>
              </w:rPr>
            </w:pPr>
            <w:r w:rsidRPr="00F055F4">
              <w:rPr>
                <w:rFonts w:ascii="Times New Roman" w:eastAsia="Times New Roman" w:hAnsi="Times New Roman" w:cs="Times New Roman"/>
                <w:color w:val="000000"/>
                <w:sz w:val="24"/>
                <w:szCs w:val="24"/>
              </w:rPr>
              <w:t>26.46%</w:t>
            </w:r>
          </w:p>
        </w:tc>
      </w:tr>
      <w:tr w:rsidR="000F7C00" w:rsidRPr="000E5B76" w14:paraId="4A47AA83" w14:textId="77777777" w:rsidTr="00211FA3">
        <w:tblPrEx>
          <w:jc w:val="left"/>
        </w:tblPrEx>
        <w:trPr>
          <w:trHeight w:val="130"/>
        </w:trPr>
        <w:tc>
          <w:tcPr>
            <w:tcW w:w="4050" w:type="dxa"/>
            <w:gridSpan w:val="2"/>
            <w:tcBorders>
              <w:top w:val="nil"/>
              <w:left w:val="nil"/>
              <w:bottom w:val="nil"/>
              <w:right w:val="nil"/>
            </w:tcBorders>
            <w:shd w:val="clear" w:color="auto" w:fill="auto"/>
            <w:noWrap/>
            <w:vAlign w:val="bottom"/>
            <w:hideMark/>
          </w:tcPr>
          <w:p w14:paraId="62C9C899" w14:textId="77777777" w:rsidR="000F7C00" w:rsidRPr="00F055F4" w:rsidRDefault="000F7C00" w:rsidP="00211FA3">
            <w:pPr>
              <w:spacing w:after="0" w:line="240" w:lineRule="auto"/>
              <w:jc w:val="right"/>
              <w:rPr>
                <w:rFonts w:ascii="Times New Roman" w:eastAsia="Times New Roman" w:hAnsi="Times New Roman" w:cs="Times New Roman"/>
                <w:color w:val="000000"/>
                <w:sz w:val="24"/>
                <w:szCs w:val="24"/>
              </w:rPr>
            </w:pPr>
          </w:p>
        </w:tc>
        <w:tc>
          <w:tcPr>
            <w:tcW w:w="2407" w:type="dxa"/>
            <w:gridSpan w:val="2"/>
            <w:tcBorders>
              <w:top w:val="nil"/>
              <w:left w:val="nil"/>
              <w:bottom w:val="nil"/>
              <w:right w:val="nil"/>
            </w:tcBorders>
            <w:shd w:val="clear" w:color="auto" w:fill="auto"/>
            <w:noWrap/>
            <w:vAlign w:val="bottom"/>
            <w:hideMark/>
          </w:tcPr>
          <w:p w14:paraId="72217916" w14:textId="77777777" w:rsidR="000F7C00" w:rsidRPr="00F055F4" w:rsidRDefault="000F7C00" w:rsidP="00211FA3">
            <w:pPr>
              <w:spacing w:after="0" w:line="240" w:lineRule="auto"/>
              <w:jc w:val="center"/>
              <w:rPr>
                <w:rFonts w:ascii="Times New Roman" w:eastAsia="Times New Roman" w:hAnsi="Times New Roman" w:cs="Times New Roman"/>
                <w:sz w:val="24"/>
                <w:szCs w:val="24"/>
              </w:rPr>
            </w:pPr>
          </w:p>
        </w:tc>
        <w:tc>
          <w:tcPr>
            <w:tcW w:w="2408" w:type="dxa"/>
            <w:gridSpan w:val="2"/>
            <w:tcBorders>
              <w:top w:val="nil"/>
              <w:left w:val="nil"/>
              <w:bottom w:val="nil"/>
              <w:right w:val="nil"/>
            </w:tcBorders>
            <w:shd w:val="clear" w:color="auto" w:fill="auto"/>
            <w:noWrap/>
            <w:vAlign w:val="bottom"/>
            <w:hideMark/>
          </w:tcPr>
          <w:p w14:paraId="092F233A" w14:textId="77777777" w:rsidR="000F7C00" w:rsidRPr="00F055F4" w:rsidRDefault="000F7C00" w:rsidP="00211FA3">
            <w:pPr>
              <w:spacing w:after="0" w:line="240" w:lineRule="auto"/>
              <w:jc w:val="center"/>
              <w:rPr>
                <w:rFonts w:ascii="Times New Roman" w:eastAsia="Times New Roman" w:hAnsi="Times New Roman" w:cs="Times New Roman"/>
                <w:sz w:val="24"/>
                <w:szCs w:val="24"/>
              </w:rPr>
            </w:pPr>
          </w:p>
        </w:tc>
        <w:tc>
          <w:tcPr>
            <w:tcW w:w="2407" w:type="dxa"/>
            <w:gridSpan w:val="2"/>
            <w:tcBorders>
              <w:top w:val="nil"/>
              <w:left w:val="nil"/>
              <w:bottom w:val="nil"/>
              <w:right w:val="nil"/>
            </w:tcBorders>
            <w:shd w:val="clear" w:color="auto" w:fill="auto"/>
            <w:noWrap/>
            <w:vAlign w:val="bottom"/>
            <w:hideMark/>
          </w:tcPr>
          <w:p w14:paraId="706720A3" w14:textId="77777777" w:rsidR="000F7C00" w:rsidRPr="00F055F4" w:rsidRDefault="000F7C00" w:rsidP="00211FA3">
            <w:pPr>
              <w:spacing w:after="0" w:line="240" w:lineRule="auto"/>
              <w:jc w:val="center"/>
              <w:rPr>
                <w:rFonts w:ascii="Times New Roman" w:eastAsia="Times New Roman" w:hAnsi="Times New Roman" w:cs="Times New Roman"/>
                <w:sz w:val="24"/>
                <w:szCs w:val="24"/>
              </w:rPr>
            </w:pPr>
          </w:p>
        </w:tc>
        <w:tc>
          <w:tcPr>
            <w:tcW w:w="2408" w:type="dxa"/>
            <w:gridSpan w:val="2"/>
            <w:tcBorders>
              <w:top w:val="nil"/>
              <w:left w:val="nil"/>
              <w:bottom w:val="nil"/>
              <w:right w:val="nil"/>
            </w:tcBorders>
            <w:shd w:val="clear" w:color="auto" w:fill="auto"/>
            <w:noWrap/>
            <w:vAlign w:val="bottom"/>
            <w:hideMark/>
          </w:tcPr>
          <w:p w14:paraId="3F5C12BD" w14:textId="77777777" w:rsidR="000F7C00" w:rsidRPr="00F055F4" w:rsidRDefault="000F7C00" w:rsidP="00211FA3">
            <w:pPr>
              <w:spacing w:after="0" w:line="240" w:lineRule="auto"/>
              <w:jc w:val="center"/>
              <w:rPr>
                <w:rFonts w:ascii="Times New Roman" w:eastAsia="Times New Roman" w:hAnsi="Times New Roman" w:cs="Times New Roman"/>
                <w:sz w:val="24"/>
                <w:szCs w:val="24"/>
              </w:rPr>
            </w:pPr>
          </w:p>
        </w:tc>
      </w:tr>
      <w:tr w:rsidR="000F7C00" w:rsidRPr="000E5B76" w14:paraId="14A3C209" w14:textId="77777777" w:rsidTr="00211FA3">
        <w:tblPrEx>
          <w:jc w:val="left"/>
        </w:tblPrEx>
        <w:trPr>
          <w:trHeight w:val="576"/>
        </w:trPr>
        <w:tc>
          <w:tcPr>
            <w:tcW w:w="4050" w:type="dxa"/>
            <w:gridSpan w:val="2"/>
            <w:tcBorders>
              <w:top w:val="nil"/>
              <w:left w:val="nil"/>
              <w:bottom w:val="nil"/>
              <w:right w:val="nil"/>
            </w:tcBorders>
            <w:shd w:val="clear" w:color="auto" w:fill="auto"/>
            <w:noWrap/>
            <w:vAlign w:val="bottom"/>
            <w:hideMark/>
          </w:tcPr>
          <w:p w14:paraId="3A6532DD" w14:textId="77777777" w:rsidR="000F7C00" w:rsidRPr="00F055F4" w:rsidRDefault="000F7C00" w:rsidP="00211FA3">
            <w:pPr>
              <w:spacing w:after="0" w:line="240" w:lineRule="auto"/>
              <w:rPr>
                <w:rFonts w:ascii="Times New Roman" w:eastAsia="Times New Roman" w:hAnsi="Times New Roman" w:cs="Times New Roman"/>
                <w:color w:val="000000"/>
                <w:sz w:val="24"/>
                <w:szCs w:val="24"/>
              </w:rPr>
            </w:pPr>
            <w:r w:rsidRPr="00A44656">
              <w:rPr>
                <w:rFonts w:ascii="Times New Roman" w:eastAsia="Times New Roman" w:hAnsi="Times New Roman" w:cs="Times New Roman"/>
                <w:b/>
                <w:color w:val="000000"/>
                <w:sz w:val="24"/>
                <w:szCs w:val="24"/>
              </w:rPr>
              <w:t>Panel B: 2018 Simulations</w:t>
            </w:r>
          </w:p>
        </w:tc>
        <w:tc>
          <w:tcPr>
            <w:tcW w:w="2407" w:type="dxa"/>
            <w:gridSpan w:val="2"/>
            <w:tcBorders>
              <w:top w:val="nil"/>
              <w:left w:val="nil"/>
              <w:bottom w:val="nil"/>
              <w:right w:val="nil"/>
            </w:tcBorders>
            <w:shd w:val="clear" w:color="auto" w:fill="auto"/>
            <w:noWrap/>
            <w:vAlign w:val="bottom"/>
            <w:hideMark/>
          </w:tcPr>
          <w:p w14:paraId="575D28DE" w14:textId="77777777" w:rsidR="000F7C00" w:rsidRPr="00F055F4" w:rsidRDefault="000F7C00" w:rsidP="00211FA3">
            <w:pPr>
              <w:spacing w:after="0" w:line="240" w:lineRule="auto"/>
              <w:jc w:val="center"/>
              <w:rPr>
                <w:rFonts w:ascii="Times New Roman" w:eastAsia="Times New Roman" w:hAnsi="Times New Roman" w:cs="Times New Roman"/>
                <w:color w:val="000000"/>
                <w:sz w:val="24"/>
                <w:szCs w:val="24"/>
              </w:rPr>
            </w:pPr>
          </w:p>
        </w:tc>
        <w:tc>
          <w:tcPr>
            <w:tcW w:w="2408" w:type="dxa"/>
            <w:gridSpan w:val="2"/>
            <w:tcBorders>
              <w:top w:val="nil"/>
              <w:left w:val="nil"/>
              <w:bottom w:val="nil"/>
              <w:right w:val="nil"/>
            </w:tcBorders>
            <w:shd w:val="clear" w:color="auto" w:fill="auto"/>
            <w:noWrap/>
            <w:vAlign w:val="bottom"/>
            <w:hideMark/>
          </w:tcPr>
          <w:p w14:paraId="2BF5ABA9" w14:textId="77777777" w:rsidR="000F7C00" w:rsidRPr="00F055F4" w:rsidRDefault="000F7C00" w:rsidP="00211FA3">
            <w:pPr>
              <w:spacing w:after="0" w:line="240" w:lineRule="auto"/>
              <w:jc w:val="center"/>
              <w:rPr>
                <w:rFonts w:ascii="Times New Roman" w:eastAsia="Times New Roman" w:hAnsi="Times New Roman" w:cs="Times New Roman"/>
                <w:sz w:val="24"/>
                <w:szCs w:val="24"/>
              </w:rPr>
            </w:pPr>
          </w:p>
        </w:tc>
        <w:tc>
          <w:tcPr>
            <w:tcW w:w="2407" w:type="dxa"/>
            <w:gridSpan w:val="2"/>
            <w:tcBorders>
              <w:top w:val="nil"/>
              <w:left w:val="nil"/>
              <w:bottom w:val="nil"/>
              <w:right w:val="nil"/>
            </w:tcBorders>
            <w:shd w:val="clear" w:color="auto" w:fill="auto"/>
            <w:noWrap/>
            <w:vAlign w:val="bottom"/>
            <w:hideMark/>
          </w:tcPr>
          <w:p w14:paraId="0AC73229" w14:textId="77777777" w:rsidR="000F7C00" w:rsidRPr="00F055F4" w:rsidRDefault="000F7C00" w:rsidP="00211FA3">
            <w:pPr>
              <w:spacing w:after="0" w:line="240" w:lineRule="auto"/>
              <w:jc w:val="center"/>
              <w:rPr>
                <w:rFonts w:ascii="Times New Roman" w:eastAsia="Times New Roman" w:hAnsi="Times New Roman" w:cs="Times New Roman"/>
                <w:sz w:val="24"/>
                <w:szCs w:val="24"/>
              </w:rPr>
            </w:pPr>
          </w:p>
        </w:tc>
        <w:tc>
          <w:tcPr>
            <w:tcW w:w="2408" w:type="dxa"/>
            <w:gridSpan w:val="2"/>
            <w:tcBorders>
              <w:top w:val="nil"/>
              <w:left w:val="nil"/>
              <w:bottom w:val="nil"/>
              <w:right w:val="nil"/>
            </w:tcBorders>
            <w:shd w:val="clear" w:color="auto" w:fill="auto"/>
            <w:noWrap/>
            <w:vAlign w:val="bottom"/>
            <w:hideMark/>
          </w:tcPr>
          <w:p w14:paraId="16DC187A" w14:textId="77777777" w:rsidR="000F7C00" w:rsidRPr="00F055F4" w:rsidRDefault="000F7C00" w:rsidP="00211FA3">
            <w:pPr>
              <w:spacing w:after="0" w:line="240" w:lineRule="auto"/>
              <w:jc w:val="center"/>
              <w:rPr>
                <w:rFonts w:ascii="Times New Roman" w:eastAsia="Times New Roman" w:hAnsi="Times New Roman" w:cs="Times New Roman"/>
                <w:sz w:val="24"/>
                <w:szCs w:val="24"/>
              </w:rPr>
            </w:pPr>
          </w:p>
        </w:tc>
      </w:tr>
      <w:tr w:rsidR="000F7C00" w:rsidRPr="000E5B76" w14:paraId="0447F485" w14:textId="77777777" w:rsidTr="00211FA3">
        <w:tblPrEx>
          <w:jc w:val="left"/>
        </w:tblPrEx>
        <w:trPr>
          <w:trHeight w:val="280"/>
        </w:trPr>
        <w:tc>
          <w:tcPr>
            <w:tcW w:w="4050" w:type="dxa"/>
            <w:gridSpan w:val="2"/>
            <w:tcBorders>
              <w:top w:val="nil"/>
              <w:left w:val="nil"/>
              <w:bottom w:val="nil"/>
              <w:right w:val="nil"/>
            </w:tcBorders>
            <w:shd w:val="clear" w:color="auto" w:fill="auto"/>
            <w:noWrap/>
            <w:vAlign w:val="bottom"/>
            <w:hideMark/>
          </w:tcPr>
          <w:p w14:paraId="69579235" w14:textId="77777777" w:rsidR="000F7C00" w:rsidRPr="003073D6" w:rsidRDefault="000F7C00" w:rsidP="00211FA3">
            <w:pPr>
              <w:spacing w:after="0" w:line="240" w:lineRule="auto"/>
              <w:rPr>
                <w:rFonts w:ascii="Times New Roman" w:eastAsia="Times New Roman" w:hAnsi="Times New Roman" w:cs="Times New Roman"/>
                <w:i/>
                <w:color w:val="000000"/>
                <w:sz w:val="24"/>
                <w:szCs w:val="24"/>
              </w:rPr>
            </w:pPr>
            <w:r w:rsidRPr="00F055F4">
              <w:rPr>
                <w:rFonts w:ascii="Times New Roman" w:eastAsia="Times New Roman" w:hAnsi="Times New Roman" w:cs="Times New Roman"/>
                <w:color w:val="000000"/>
                <w:sz w:val="24"/>
                <w:szCs w:val="24"/>
              </w:rPr>
              <w:t xml:space="preserve">     </w:t>
            </w:r>
            <w:r w:rsidRPr="003073D6">
              <w:rPr>
                <w:rFonts w:ascii="Times New Roman" w:eastAsia="Times New Roman" w:hAnsi="Times New Roman" w:cs="Times New Roman"/>
                <w:i/>
                <w:color w:val="000000"/>
                <w:sz w:val="24"/>
                <w:szCs w:val="24"/>
              </w:rPr>
              <w:t>Distribution Method</w:t>
            </w:r>
          </w:p>
        </w:tc>
        <w:tc>
          <w:tcPr>
            <w:tcW w:w="2407" w:type="dxa"/>
            <w:gridSpan w:val="2"/>
            <w:tcBorders>
              <w:top w:val="nil"/>
              <w:left w:val="nil"/>
              <w:bottom w:val="nil"/>
              <w:right w:val="nil"/>
            </w:tcBorders>
            <w:shd w:val="clear" w:color="auto" w:fill="auto"/>
            <w:noWrap/>
            <w:vAlign w:val="bottom"/>
            <w:hideMark/>
          </w:tcPr>
          <w:p w14:paraId="5F90EB45" w14:textId="77777777" w:rsidR="000F7C00" w:rsidRPr="00F055F4" w:rsidRDefault="000F7C00" w:rsidP="00211FA3">
            <w:pPr>
              <w:spacing w:after="0" w:line="240" w:lineRule="auto"/>
              <w:jc w:val="center"/>
              <w:rPr>
                <w:rFonts w:ascii="Times New Roman" w:eastAsia="Times New Roman" w:hAnsi="Times New Roman" w:cs="Times New Roman"/>
                <w:color w:val="000000"/>
                <w:sz w:val="24"/>
                <w:szCs w:val="24"/>
              </w:rPr>
            </w:pPr>
          </w:p>
        </w:tc>
        <w:tc>
          <w:tcPr>
            <w:tcW w:w="2408" w:type="dxa"/>
            <w:gridSpan w:val="2"/>
            <w:tcBorders>
              <w:top w:val="nil"/>
              <w:left w:val="nil"/>
              <w:bottom w:val="nil"/>
              <w:right w:val="nil"/>
            </w:tcBorders>
            <w:shd w:val="clear" w:color="auto" w:fill="auto"/>
            <w:noWrap/>
            <w:vAlign w:val="bottom"/>
            <w:hideMark/>
          </w:tcPr>
          <w:p w14:paraId="559EA51C" w14:textId="77777777" w:rsidR="000F7C00" w:rsidRPr="00F055F4" w:rsidRDefault="000F7C00" w:rsidP="00211FA3">
            <w:pPr>
              <w:spacing w:after="0" w:line="240" w:lineRule="auto"/>
              <w:jc w:val="center"/>
              <w:rPr>
                <w:rFonts w:ascii="Times New Roman" w:eastAsia="Times New Roman" w:hAnsi="Times New Roman" w:cs="Times New Roman"/>
                <w:sz w:val="24"/>
                <w:szCs w:val="24"/>
              </w:rPr>
            </w:pPr>
          </w:p>
        </w:tc>
        <w:tc>
          <w:tcPr>
            <w:tcW w:w="2407" w:type="dxa"/>
            <w:gridSpan w:val="2"/>
            <w:tcBorders>
              <w:top w:val="nil"/>
              <w:left w:val="nil"/>
              <w:bottom w:val="nil"/>
              <w:right w:val="nil"/>
            </w:tcBorders>
            <w:shd w:val="clear" w:color="auto" w:fill="auto"/>
            <w:noWrap/>
            <w:vAlign w:val="bottom"/>
            <w:hideMark/>
          </w:tcPr>
          <w:p w14:paraId="4231045B" w14:textId="77777777" w:rsidR="000F7C00" w:rsidRPr="00F055F4" w:rsidRDefault="000F7C00" w:rsidP="00211FA3">
            <w:pPr>
              <w:spacing w:after="0" w:line="240" w:lineRule="auto"/>
              <w:jc w:val="center"/>
              <w:rPr>
                <w:rFonts w:ascii="Times New Roman" w:eastAsia="Times New Roman" w:hAnsi="Times New Roman" w:cs="Times New Roman"/>
                <w:sz w:val="24"/>
                <w:szCs w:val="24"/>
              </w:rPr>
            </w:pPr>
          </w:p>
        </w:tc>
        <w:tc>
          <w:tcPr>
            <w:tcW w:w="2408" w:type="dxa"/>
            <w:gridSpan w:val="2"/>
            <w:tcBorders>
              <w:top w:val="nil"/>
              <w:left w:val="nil"/>
              <w:bottom w:val="nil"/>
              <w:right w:val="nil"/>
            </w:tcBorders>
            <w:shd w:val="clear" w:color="auto" w:fill="auto"/>
            <w:noWrap/>
            <w:vAlign w:val="bottom"/>
            <w:hideMark/>
          </w:tcPr>
          <w:p w14:paraId="6D80E116" w14:textId="77777777" w:rsidR="000F7C00" w:rsidRPr="00F055F4" w:rsidRDefault="000F7C00" w:rsidP="00211FA3">
            <w:pPr>
              <w:spacing w:after="0" w:line="240" w:lineRule="auto"/>
              <w:jc w:val="center"/>
              <w:rPr>
                <w:rFonts w:ascii="Times New Roman" w:eastAsia="Times New Roman" w:hAnsi="Times New Roman" w:cs="Times New Roman"/>
                <w:sz w:val="24"/>
                <w:szCs w:val="24"/>
              </w:rPr>
            </w:pPr>
          </w:p>
        </w:tc>
      </w:tr>
      <w:tr w:rsidR="00AE7424" w:rsidRPr="000E5B76" w14:paraId="5355A667" w14:textId="77777777" w:rsidTr="008A2D3B">
        <w:tblPrEx>
          <w:jc w:val="left"/>
        </w:tblPrEx>
        <w:trPr>
          <w:trHeight w:val="280"/>
        </w:trPr>
        <w:tc>
          <w:tcPr>
            <w:tcW w:w="4050" w:type="dxa"/>
            <w:gridSpan w:val="2"/>
            <w:tcBorders>
              <w:top w:val="nil"/>
              <w:left w:val="nil"/>
              <w:bottom w:val="nil"/>
              <w:right w:val="nil"/>
            </w:tcBorders>
            <w:shd w:val="clear" w:color="auto" w:fill="auto"/>
            <w:noWrap/>
            <w:vAlign w:val="bottom"/>
            <w:hideMark/>
          </w:tcPr>
          <w:p w14:paraId="577C389B" w14:textId="77777777" w:rsidR="00AE7424" w:rsidRPr="00F055F4" w:rsidRDefault="00AE7424" w:rsidP="00AE7424">
            <w:pPr>
              <w:spacing w:after="0" w:line="240" w:lineRule="auto"/>
              <w:rPr>
                <w:rFonts w:ascii="Times New Roman" w:eastAsia="Times New Roman" w:hAnsi="Times New Roman" w:cs="Times New Roman"/>
                <w:color w:val="000000"/>
                <w:sz w:val="24"/>
                <w:szCs w:val="24"/>
              </w:rPr>
            </w:pPr>
            <w:r w:rsidRPr="00A446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1) R</w:t>
            </w:r>
            <w:r w:rsidRPr="0066434B">
              <w:rPr>
                <w:rFonts w:ascii="Times New Roman" w:eastAsia="Times New Roman" w:hAnsi="Times New Roman" w:cs="Times New Roman"/>
                <w:color w:val="000000"/>
                <w:sz w:val="24"/>
                <w:szCs w:val="24"/>
              </w:rPr>
              <w:t xml:space="preserve">aise BA </w:t>
            </w:r>
            <w:r>
              <w:rPr>
                <w:rFonts w:ascii="Times New Roman" w:eastAsia="Times New Roman" w:hAnsi="Times New Roman" w:cs="Times New Roman"/>
                <w:color w:val="000000"/>
                <w:sz w:val="24"/>
                <w:szCs w:val="24"/>
              </w:rPr>
              <w:t xml:space="preserve">share </w:t>
            </w:r>
            <w:r w:rsidRPr="0066434B">
              <w:rPr>
                <w:rFonts w:ascii="Times New Roman" w:eastAsia="Times New Roman" w:hAnsi="Times New Roman" w:cs="Times New Roman"/>
                <w:color w:val="000000"/>
                <w:sz w:val="24"/>
                <w:szCs w:val="24"/>
              </w:rPr>
              <w:t>to 50%</w:t>
            </w:r>
          </w:p>
        </w:tc>
        <w:tc>
          <w:tcPr>
            <w:tcW w:w="2407" w:type="dxa"/>
            <w:gridSpan w:val="2"/>
            <w:tcBorders>
              <w:top w:val="nil"/>
              <w:left w:val="nil"/>
              <w:bottom w:val="nil"/>
              <w:right w:val="nil"/>
            </w:tcBorders>
            <w:shd w:val="clear" w:color="auto" w:fill="auto"/>
            <w:noWrap/>
            <w:vAlign w:val="bottom"/>
            <w:hideMark/>
          </w:tcPr>
          <w:p w14:paraId="5394652E" w14:textId="28EA01E8" w:rsidR="00AE7424" w:rsidRPr="00AE7424" w:rsidRDefault="00AE7424" w:rsidP="00AE7424">
            <w:pPr>
              <w:spacing w:after="0" w:line="240" w:lineRule="auto"/>
              <w:jc w:val="center"/>
              <w:rPr>
                <w:rFonts w:ascii="Times New Roman" w:eastAsia="Times New Roman" w:hAnsi="Times New Roman" w:cs="Times New Roman"/>
                <w:color w:val="000000"/>
                <w:sz w:val="24"/>
                <w:szCs w:val="24"/>
              </w:rPr>
            </w:pPr>
            <w:r w:rsidRPr="00AE7424">
              <w:rPr>
                <w:rFonts w:ascii="Times New Roman" w:hAnsi="Times New Roman" w:cs="Times New Roman"/>
                <w:color w:val="000000"/>
                <w:sz w:val="24"/>
                <w:szCs w:val="24"/>
              </w:rPr>
              <w:t>5.17%</w:t>
            </w:r>
          </w:p>
        </w:tc>
        <w:tc>
          <w:tcPr>
            <w:tcW w:w="2408" w:type="dxa"/>
            <w:gridSpan w:val="2"/>
            <w:tcBorders>
              <w:top w:val="nil"/>
              <w:left w:val="nil"/>
              <w:bottom w:val="nil"/>
              <w:right w:val="nil"/>
            </w:tcBorders>
            <w:shd w:val="clear" w:color="auto" w:fill="auto"/>
            <w:noWrap/>
            <w:vAlign w:val="bottom"/>
            <w:hideMark/>
          </w:tcPr>
          <w:p w14:paraId="7EFA6B80" w14:textId="2B8C457E" w:rsidR="00AE7424" w:rsidRPr="00AE7424" w:rsidRDefault="00AE7424" w:rsidP="00AE7424">
            <w:pPr>
              <w:spacing w:after="0" w:line="240" w:lineRule="auto"/>
              <w:jc w:val="center"/>
              <w:rPr>
                <w:rFonts w:ascii="Times New Roman" w:eastAsia="Times New Roman" w:hAnsi="Times New Roman" w:cs="Times New Roman"/>
                <w:color w:val="000000"/>
                <w:sz w:val="24"/>
                <w:szCs w:val="24"/>
              </w:rPr>
            </w:pPr>
            <w:r w:rsidRPr="00AE7424">
              <w:rPr>
                <w:rFonts w:ascii="Times New Roman" w:hAnsi="Times New Roman" w:cs="Times New Roman"/>
                <w:color w:val="000000"/>
                <w:sz w:val="24"/>
                <w:szCs w:val="24"/>
              </w:rPr>
              <w:t>10.17%</w:t>
            </w:r>
          </w:p>
        </w:tc>
        <w:tc>
          <w:tcPr>
            <w:tcW w:w="2407" w:type="dxa"/>
            <w:gridSpan w:val="2"/>
            <w:tcBorders>
              <w:top w:val="nil"/>
              <w:left w:val="nil"/>
              <w:bottom w:val="nil"/>
              <w:right w:val="nil"/>
            </w:tcBorders>
            <w:shd w:val="clear" w:color="auto" w:fill="auto"/>
            <w:noWrap/>
            <w:vAlign w:val="bottom"/>
            <w:hideMark/>
          </w:tcPr>
          <w:p w14:paraId="67FB0CE0" w14:textId="61E5E9BB" w:rsidR="00AE7424" w:rsidRPr="00AE7424" w:rsidRDefault="00AE7424" w:rsidP="00AE7424">
            <w:pPr>
              <w:spacing w:after="0" w:line="240" w:lineRule="auto"/>
              <w:jc w:val="center"/>
              <w:rPr>
                <w:rFonts w:ascii="Times New Roman" w:eastAsia="Times New Roman" w:hAnsi="Times New Roman" w:cs="Times New Roman"/>
                <w:color w:val="000000"/>
                <w:sz w:val="24"/>
                <w:szCs w:val="24"/>
              </w:rPr>
            </w:pPr>
            <w:r w:rsidRPr="00AE7424">
              <w:rPr>
                <w:rFonts w:ascii="Times New Roman" w:hAnsi="Times New Roman" w:cs="Times New Roman"/>
                <w:color w:val="000000"/>
                <w:sz w:val="24"/>
                <w:szCs w:val="24"/>
              </w:rPr>
              <w:t>16.39%</w:t>
            </w:r>
          </w:p>
        </w:tc>
        <w:tc>
          <w:tcPr>
            <w:tcW w:w="2408" w:type="dxa"/>
            <w:gridSpan w:val="2"/>
            <w:tcBorders>
              <w:top w:val="nil"/>
              <w:left w:val="nil"/>
              <w:bottom w:val="nil"/>
              <w:right w:val="nil"/>
            </w:tcBorders>
            <w:shd w:val="clear" w:color="auto" w:fill="auto"/>
            <w:noWrap/>
            <w:vAlign w:val="bottom"/>
            <w:hideMark/>
          </w:tcPr>
          <w:p w14:paraId="2529E57D" w14:textId="7BD46F87" w:rsidR="00AE7424" w:rsidRPr="00AE7424" w:rsidRDefault="00AE7424" w:rsidP="00AE7424">
            <w:pPr>
              <w:spacing w:after="0" w:line="240" w:lineRule="auto"/>
              <w:jc w:val="center"/>
              <w:rPr>
                <w:rFonts w:ascii="Times New Roman" w:eastAsia="Times New Roman" w:hAnsi="Times New Roman" w:cs="Times New Roman"/>
                <w:color w:val="000000"/>
                <w:sz w:val="24"/>
                <w:szCs w:val="24"/>
              </w:rPr>
            </w:pPr>
            <w:r w:rsidRPr="00AE7424">
              <w:rPr>
                <w:rFonts w:ascii="Times New Roman" w:hAnsi="Times New Roman" w:cs="Times New Roman"/>
                <w:color w:val="000000"/>
                <w:sz w:val="24"/>
                <w:szCs w:val="24"/>
              </w:rPr>
              <w:t>23.24%</w:t>
            </w:r>
          </w:p>
        </w:tc>
      </w:tr>
      <w:tr w:rsidR="00AE7424" w:rsidRPr="000E5B76" w14:paraId="2A1462DA" w14:textId="77777777" w:rsidTr="008A2D3B">
        <w:tblPrEx>
          <w:jc w:val="left"/>
        </w:tblPrEx>
        <w:trPr>
          <w:trHeight w:val="280"/>
        </w:trPr>
        <w:tc>
          <w:tcPr>
            <w:tcW w:w="4050" w:type="dxa"/>
            <w:gridSpan w:val="2"/>
            <w:tcBorders>
              <w:top w:val="nil"/>
              <w:left w:val="nil"/>
              <w:bottom w:val="nil"/>
              <w:right w:val="nil"/>
            </w:tcBorders>
            <w:shd w:val="clear" w:color="auto" w:fill="auto"/>
            <w:noWrap/>
            <w:vAlign w:val="bottom"/>
            <w:hideMark/>
          </w:tcPr>
          <w:p w14:paraId="17DDADE3" w14:textId="77777777" w:rsidR="00AE7424" w:rsidRPr="00F055F4" w:rsidRDefault="00AE7424" w:rsidP="00AE7424">
            <w:pPr>
              <w:spacing w:after="0" w:line="240" w:lineRule="auto"/>
              <w:rPr>
                <w:rFonts w:ascii="Times New Roman" w:eastAsia="Times New Roman" w:hAnsi="Times New Roman" w:cs="Times New Roman"/>
                <w:color w:val="000000"/>
                <w:sz w:val="24"/>
                <w:szCs w:val="24"/>
              </w:rPr>
            </w:pPr>
            <w:r w:rsidRPr="00A446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2) + Raise A</w:t>
            </w:r>
            <w:r w:rsidRPr="0066434B">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share to 15</w:t>
            </w:r>
            <w:r w:rsidRPr="0066434B">
              <w:rPr>
                <w:rFonts w:ascii="Times New Roman" w:eastAsia="Times New Roman" w:hAnsi="Times New Roman" w:cs="Times New Roman"/>
                <w:color w:val="000000"/>
                <w:sz w:val="24"/>
                <w:szCs w:val="24"/>
              </w:rPr>
              <w:t>%</w:t>
            </w:r>
          </w:p>
        </w:tc>
        <w:tc>
          <w:tcPr>
            <w:tcW w:w="2407" w:type="dxa"/>
            <w:gridSpan w:val="2"/>
            <w:tcBorders>
              <w:top w:val="nil"/>
              <w:left w:val="nil"/>
              <w:bottom w:val="nil"/>
              <w:right w:val="nil"/>
            </w:tcBorders>
            <w:shd w:val="clear" w:color="auto" w:fill="auto"/>
            <w:noWrap/>
            <w:vAlign w:val="bottom"/>
            <w:hideMark/>
          </w:tcPr>
          <w:p w14:paraId="2E64A998" w14:textId="473586C9" w:rsidR="00AE7424" w:rsidRPr="00AE7424" w:rsidRDefault="00AE7424" w:rsidP="00AE7424">
            <w:pPr>
              <w:spacing w:after="0" w:line="240" w:lineRule="auto"/>
              <w:jc w:val="center"/>
              <w:rPr>
                <w:rFonts w:ascii="Times New Roman" w:eastAsia="Times New Roman" w:hAnsi="Times New Roman" w:cs="Times New Roman"/>
                <w:color w:val="000000"/>
                <w:sz w:val="24"/>
                <w:szCs w:val="24"/>
              </w:rPr>
            </w:pPr>
            <w:r w:rsidRPr="00AE7424">
              <w:rPr>
                <w:rFonts w:ascii="Times New Roman" w:hAnsi="Times New Roman" w:cs="Times New Roman"/>
                <w:color w:val="000000"/>
                <w:sz w:val="24"/>
                <w:szCs w:val="24"/>
              </w:rPr>
              <w:t>5.13%</w:t>
            </w:r>
          </w:p>
        </w:tc>
        <w:tc>
          <w:tcPr>
            <w:tcW w:w="2408" w:type="dxa"/>
            <w:gridSpan w:val="2"/>
            <w:tcBorders>
              <w:top w:val="nil"/>
              <w:left w:val="nil"/>
              <w:bottom w:val="nil"/>
              <w:right w:val="nil"/>
            </w:tcBorders>
            <w:shd w:val="clear" w:color="auto" w:fill="auto"/>
            <w:noWrap/>
            <w:vAlign w:val="bottom"/>
            <w:hideMark/>
          </w:tcPr>
          <w:p w14:paraId="66CAF4AC" w14:textId="438AE0B4" w:rsidR="00AE7424" w:rsidRPr="00AE7424" w:rsidRDefault="00AE7424" w:rsidP="00AE7424">
            <w:pPr>
              <w:spacing w:after="0" w:line="240" w:lineRule="auto"/>
              <w:jc w:val="center"/>
              <w:rPr>
                <w:rFonts w:ascii="Times New Roman" w:eastAsia="Times New Roman" w:hAnsi="Times New Roman" w:cs="Times New Roman"/>
                <w:color w:val="000000"/>
                <w:sz w:val="24"/>
                <w:szCs w:val="24"/>
              </w:rPr>
            </w:pPr>
            <w:r w:rsidRPr="00AE7424">
              <w:rPr>
                <w:rFonts w:ascii="Times New Roman" w:hAnsi="Times New Roman" w:cs="Times New Roman"/>
                <w:color w:val="000000"/>
                <w:sz w:val="24"/>
                <w:szCs w:val="24"/>
              </w:rPr>
              <w:t>9.95%</w:t>
            </w:r>
          </w:p>
        </w:tc>
        <w:tc>
          <w:tcPr>
            <w:tcW w:w="2407" w:type="dxa"/>
            <w:gridSpan w:val="2"/>
            <w:tcBorders>
              <w:top w:val="nil"/>
              <w:left w:val="nil"/>
              <w:bottom w:val="nil"/>
              <w:right w:val="nil"/>
            </w:tcBorders>
            <w:shd w:val="clear" w:color="auto" w:fill="auto"/>
            <w:noWrap/>
            <w:vAlign w:val="bottom"/>
            <w:hideMark/>
          </w:tcPr>
          <w:p w14:paraId="13195D21" w14:textId="1126B1A9" w:rsidR="00AE7424" w:rsidRPr="00AE7424" w:rsidRDefault="00AE7424" w:rsidP="00AE7424">
            <w:pPr>
              <w:spacing w:after="0" w:line="240" w:lineRule="auto"/>
              <w:jc w:val="center"/>
              <w:rPr>
                <w:rFonts w:ascii="Times New Roman" w:eastAsia="Times New Roman" w:hAnsi="Times New Roman" w:cs="Times New Roman"/>
                <w:color w:val="000000"/>
                <w:sz w:val="24"/>
                <w:szCs w:val="24"/>
              </w:rPr>
            </w:pPr>
            <w:r w:rsidRPr="00AE7424">
              <w:rPr>
                <w:rFonts w:ascii="Times New Roman" w:hAnsi="Times New Roman" w:cs="Times New Roman"/>
                <w:color w:val="000000"/>
                <w:sz w:val="24"/>
                <w:szCs w:val="24"/>
              </w:rPr>
              <w:t>15.88%</w:t>
            </w:r>
          </w:p>
        </w:tc>
        <w:tc>
          <w:tcPr>
            <w:tcW w:w="2408" w:type="dxa"/>
            <w:gridSpan w:val="2"/>
            <w:tcBorders>
              <w:top w:val="nil"/>
              <w:left w:val="nil"/>
              <w:bottom w:val="nil"/>
              <w:right w:val="nil"/>
            </w:tcBorders>
            <w:shd w:val="clear" w:color="auto" w:fill="auto"/>
            <w:noWrap/>
            <w:vAlign w:val="bottom"/>
            <w:hideMark/>
          </w:tcPr>
          <w:p w14:paraId="4F166B04" w14:textId="35889152" w:rsidR="00AE7424" w:rsidRPr="00AE7424" w:rsidRDefault="00AE7424" w:rsidP="00AE7424">
            <w:pPr>
              <w:spacing w:after="0" w:line="240" w:lineRule="auto"/>
              <w:jc w:val="center"/>
              <w:rPr>
                <w:rFonts w:ascii="Times New Roman" w:eastAsia="Times New Roman" w:hAnsi="Times New Roman" w:cs="Times New Roman"/>
                <w:color w:val="000000"/>
                <w:sz w:val="24"/>
                <w:szCs w:val="24"/>
              </w:rPr>
            </w:pPr>
            <w:r w:rsidRPr="00AE7424">
              <w:rPr>
                <w:rFonts w:ascii="Times New Roman" w:hAnsi="Times New Roman" w:cs="Times New Roman"/>
                <w:color w:val="000000"/>
                <w:sz w:val="24"/>
                <w:szCs w:val="24"/>
              </w:rPr>
              <w:t>22.59%</w:t>
            </w:r>
          </w:p>
        </w:tc>
      </w:tr>
      <w:tr w:rsidR="00AE7424" w:rsidRPr="000E5B76" w14:paraId="056BEE01" w14:textId="77777777" w:rsidTr="008A2D3B">
        <w:tblPrEx>
          <w:jc w:val="left"/>
        </w:tblPrEx>
        <w:trPr>
          <w:trHeight w:val="280"/>
        </w:trPr>
        <w:tc>
          <w:tcPr>
            <w:tcW w:w="4050" w:type="dxa"/>
            <w:gridSpan w:val="2"/>
            <w:tcBorders>
              <w:top w:val="nil"/>
              <w:left w:val="nil"/>
              <w:bottom w:val="nil"/>
              <w:right w:val="nil"/>
            </w:tcBorders>
            <w:shd w:val="clear" w:color="auto" w:fill="auto"/>
            <w:noWrap/>
            <w:vAlign w:val="bottom"/>
            <w:hideMark/>
          </w:tcPr>
          <w:p w14:paraId="6B211C56" w14:textId="77777777" w:rsidR="00AE7424" w:rsidRPr="00F055F4" w:rsidRDefault="00AE7424" w:rsidP="00AE7424">
            <w:pPr>
              <w:spacing w:after="0" w:line="240" w:lineRule="auto"/>
              <w:rPr>
                <w:rFonts w:ascii="Times New Roman" w:eastAsia="Times New Roman" w:hAnsi="Times New Roman" w:cs="Times New Roman"/>
                <w:color w:val="000000"/>
                <w:sz w:val="24"/>
                <w:szCs w:val="24"/>
              </w:rPr>
            </w:pPr>
            <w:r w:rsidRPr="00A446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3) 6</w:t>
            </w:r>
            <w:r w:rsidRPr="0066434B">
              <w:rPr>
                <w:rFonts w:ascii="Times New Roman" w:eastAsia="Times New Roman" w:hAnsi="Times New Roman" w:cs="Times New Roman"/>
                <w:color w:val="000000"/>
                <w:sz w:val="24"/>
                <w:szCs w:val="24"/>
              </w:rPr>
              <w:t xml:space="preserve">0% </w:t>
            </w:r>
            <w:r>
              <w:rPr>
                <w:rFonts w:ascii="Times New Roman" w:eastAsia="Times New Roman" w:hAnsi="Times New Roman" w:cs="Times New Roman"/>
                <w:color w:val="000000"/>
                <w:sz w:val="24"/>
                <w:szCs w:val="24"/>
              </w:rPr>
              <w:t>B</w:t>
            </w:r>
            <w:r w:rsidRPr="0066434B">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share</w:t>
            </w:r>
            <w:r w:rsidRPr="0066434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w:t>
            </w:r>
            <w:r w:rsidRPr="0066434B">
              <w:rPr>
                <w:rFonts w:ascii="Times New Roman" w:eastAsia="Times New Roman" w:hAnsi="Times New Roman" w:cs="Times New Roman"/>
                <w:color w:val="000000"/>
                <w:sz w:val="24"/>
                <w:szCs w:val="24"/>
              </w:rPr>
              <w:t xml:space="preserve">0% </w:t>
            </w:r>
            <w:r>
              <w:rPr>
                <w:rFonts w:ascii="Times New Roman" w:eastAsia="Times New Roman" w:hAnsi="Times New Roman" w:cs="Times New Roman"/>
                <w:color w:val="000000"/>
                <w:sz w:val="24"/>
                <w:szCs w:val="24"/>
              </w:rPr>
              <w:t>A</w:t>
            </w:r>
            <w:r w:rsidRPr="0066434B">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share</w:t>
            </w:r>
          </w:p>
        </w:tc>
        <w:tc>
          <w:tcPr>
            <w:tcW w:w="2407" w:type="dxa"/>
            <w:gridSpan w:val="2"/>
            <w:tcBorders>
              <w:top w:val="nil"/>
              <w:left w:val="nil"/>
              <w:bottom w:val="nil"/>
              <w:right w:val="nil"/>
            </w:tcBorders>
            <w:shd w:val="clear" w:color="auto" w:fill="auto"/>
            <w:noWrap/>
            <w:vAlign w:val="bottom"/>
            <w:hideMark/>
          </w:tcPr>
          <w:p w14:paraId="7048F298" w14:textId="373893C0" w:rsidR="00AE7424" w:rsidRPr="00AE7424" w:rsidRDefault="00AE7424" w:rsidP="00AE7424">
            <w:pPr>
              <w:spacing w:after="0" w:line="240" w:lineRule="auto"/>
              <w:jc w:val="center"/>
              <w:rPr>
                <w:rFonts w:ascii="Times New Roman" w:eastAsia="Times New Roman" w:hAnsi="Times New Roman" w:cs="Times New Roman"/>
                <w:color w:val="000000"/>
                <w:sz w:val="24"/>
                <w:szCs w:val="24"/>
              </w:rPr>
            </w:pPr>
            <w:r w:rsidRPr="00AE7424">
              <w:rPr>
                <w:rFonts w:ascii="Times New Roman" w:hAnsi="Times New Roman" w:cs="Times New Roman"/>
                <w:color w:val="000000"/>
                <w:sz w:val="24"/>
                <w:szCs w:val="24"/>
              </w:rPr>
              <w:t>4.95%</w:t>
            </w:r>
          </w:p>
        </w:tc>
        <w:tc>
          <w:tcPr>
            <w:tcW w:w="2408" w:type="dxa"/>
            <w:gridSpan w:val="2"/>
            <w:tcBorders>
              <w:top w:val="nil"/>
              <w:left w:val="nil"/>
              <w:bottom w:val="nil"/>
              <w:right w:val="nil"/>
            </w:tcBorders>
            <w:shd w:val="clear" w:color="auto" w:fill="auto"/>
            <w:noWrap/>
            <w:vAlign w:val="bottom"/>
            <w:hideMark/>
          </w:tcPr>
          <w:p w14:paraId="398FAC07" w14:textId="717E7B2A" w:rsidR="00AE7424" w:rsidRPr="00AE7424" w:rsidRDefault="00AE7424" w:rsidP="00AE7424">
            <w:pPr>
              <w:spacing w:after="0" w:line="240" w:lineRule="auto"/>
              <w:jc w:val="center"/>
              <w:rPr>
                <w:rFonts w:ascii="Times New Roman" w:eastAsia="Times New Roman" w:hAnsi="Times New Roman" w:cs="Times New Roman"/>
                <w:color w:val="000000"/>
                <w:sz w:val="24"/>
                <w:szCs w:val="24"/>
              </w:rPr>
            </w:pPr>
            <w:r w:rsidRPr="00AE7424">
              <w:rPr>
                <w:rFonts w:ascii="Times New Roman" w:hAnsi="Times New Roman" w:cs="Times New Roman"/>
                <w:color w:val="000000"/>
                <w:sz w:val="24"/>
                <w:szCs w:val="24"/>
              </w:rPr>
              <w:t>8.91%</w:t>
            </w:r>
          </w:p>
        </w:tc>
        <w:tc>
          <w:tcPr>
            <w:tcW w:w="2407" w:type="dxa"/>
            <w:gridSpan w:val="2"/>
            <w:tcBorders>
              <w:top w:val="nil"/>
              <w:left w:val="nil"/>
              <w:bottom w:val="nil"/>
              <w:right w:val="nil"/>
            </w:tcBorders>
            <w:shd w:val="clear" w:color="auto" w:fill="auto"/>
            <w:noWrap/>
            <w:vAlign w:val="bottom"/>
            <w:hideMark/>
          </w:tcPr>
          <w:p w14:paraId="57C7574B" w14:textId="110CCADC" w:rsidR="00AE7424" w:rsidRPr="00AE7424" w:rsidRDefault="00AE7424" w:rsidP="00AE7424">
            <w:pPr>
              <w:spacing w:after="0" w:line="240" w:lineRule="auto"/>
              <w:jc w:val="center"/>
              <w:rPr>
                <w:rFonts w:ascii="Times New Roman" w:eastAsia="Times New Roman" w:hAnsi="Times New Roman" w:cs="Times New Roman"/>
                <w:color w:val="000000"/>
                <w:sz w:val="24"/>
                <w:szCs w:val="24"/>
              </w:rPr>
            </w:pPr>
            <w:r w:rsidRPr="00AE7424">
              <w:rPr>
                <w:rFonts w:ascii="Times New Roman" w:hAnsi="Times New Roman" w:cs="Times New Roman"/>
                <w:color w:val="000000"/>
                <w:sz w:val="24"/>
                <w:szCs w:val="24"/>
              </w:rPr>
              <w:t>14.19%</w:t>
            </w:r>
          </w:p>
        </w:tc>
        <w:tc>
          <w:tcPr>
            <w:tcW w:w="2408" w:type="dxa"/>
            <w:gridSpan w:val="2"/>
            <w:tcBorders>
              <w:top w:val="nil"/>
              <w:left w:val="nil"/>
              <w:bottom w:val="nil"/>
              <w:right w:val="nil"/>
            </w:tcBorders>
            <w:shd w:val="clear" w:color="auto" w:fill="auto"/>
            <w:noWrap/>
            <w:vAlign w:val="bottom"/>
            <w:hideMark/>
          </w:tcPr>
          <w:p w14:paraId="156CAE6B" w14:textId="4AAC85F6" w:rsidR="00AE7424" w:rsidRPr="00AE7424" w:rsidRDefault="00AE7424" w:rsidP="00AE7424">
            <w:pPr>
              <w:spacing w:after="0" w:line="240" w:lineRule="auto"/>
              <w:jc w:val="center"/>
              <w:rPr>
                <w:rFonts w:ascii="Times New Roman" w:eastAsia="Times New Roman" w:hAnsi="Times New Roman" w:cs="Times New Roman"/>
                <w:color w:val="000000"/>
                <w:sz w:val="24"/>
                <w:szCs w:val="24"/>
              </w:rPr>
            </w:pPr>
            <w:r w:rsidRPr="00AE7424">
              <w:rPr>
                <w:rFonts w:ascii="Times New Roman" w:hAnsi="Times New Roman" w:cs="Times New Roman"/>
                <w:color w:val="000000"/>
                <w:sz w:val="24"/>
                <w:szCs w:val="24"/>
              </w:rPr>
              <w:t>20.41%</w:t>
            </w:r>
          </w:p>
        </w:tc>
      </w:tr>
      <w:tr w:rsidR="00C86892" w:rsidRPr="000E5B76" w14:paraId="59D259D9" w14:textId="77777777" w:rsidTr="00211FA3">
        <w:tblPrEx>
          <w:jc w:val="left"/>
        </w:tblPrEx>
        <w:trPr>
          <w:trHeight w:val="432"/>
        </w:trPr>
        <w:tc>
          <w:tcPr>
            <w:tcW w:w="4050" w:type="dxa"/>
            <w:gridSpan w:val="2"/>
            <w:tcBorders>
              <w:top w:val="nil"/>
              <w:left w:val="nil"/>
              <w:bottom w:val="nil"/>
              <w:right w:val="nil"/>
            </w:tcBorders>
            <w:shd w:val="clear" w:color="auto" w:fill="auto"/>
            <w:noWrap/>
            <w:vAlign w:val="bottom"/>
            <w:hideMark/>
          </w:tcPr>
          <w:p w14:paraId="18965982" w14:textId="77777777" w:rsidR="00C86892" w:rsidRPr="003073D6" w:rsidRDefault="00C86892" w:rsidP="00C86892">
            <w:pPr>
              <w:spacing w:after="0" w:line="240" w:lineRule="auto"/>
              <w:rPr>
                <w:rFonts w:ascii="Times New Roman" w:eastAsia="Times New Roman" w:hAnsi="Times New Roman" w:cs="Times New Roman"/>
                <w:i/>
                <w:color w:val="000000"/>
                <w:sz w:val="24"/>
                <w:szCs w:val="24"/>
              </w:rPr>
            </w:pPr>
            <w:r w:rsidRPr="00F055F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3073D6">
              <w:rPr>
                <w:rFonts w:ascii="Times New Roman" w:eastAsia="Times New Roman" w:hAnsi="Times New Roman" w:cs="Times New Roman"/>
                <w:i/>
                <w:color w:val="000000"/>
                <w:sz w:val="24"/>
                <w:szCs w:val="24"/>
              </w:rPr>
              <w:t>Causal Parameter Method</w:t>
            </w:r>
          </w:p>
        </w:tc>
        <w:tc>
          <w:tcPr>
            <w:tcW w:w="2407" w:type="dxa"/>
            <w:gridSpan w:val="2"/>
            <w:tcBorders>
              <w:top w:val="nil"/>
              <w:left w:val="nil"/>
              <w:bottom w:val="nil"/>
              <w:right w:val="nil"/>
            </w:tcBorders>
            <w:shd w:val="clear" w:color="auto" w:fill="auto"/>
            <w:noWrap/>
            <w:vAlign w:val="bottom"/>
            <w:hideMark/>
          </w:tcPr>
          <w:p w14:paraId="5AF48C18" w14:textId="77777777" w:rsidR="00C86892" w:rsidRPr="00AE7424" w:rsidRDefault="00C86892" w:rsidP="00C86892">
            <w:pPr>
              <w:spacing w:after="0" w:line="240" w:lineRule="auto"/>
              <w:jc w:val="center"/>
              <w:rPr>
                <w:rFonts w:ascii="Times New Roman" w:eastAsia="Times New Roman" w:hAnsi="Times New Roman" w:cs="Times New Roman"/>
                <w:color w:val="000000"/>
                <w:sz w:val="24"/>
                <w:szCs w:val="24"/>
              </w:rPr>
            </w:pPr>
          </w:p>
        </w:tc>
        <w:tc>
          <w:tcPr>
            <w:tcW w:w="2408" w:type="dxa"/>
            <w:gridSpan w:val="2"/>
            <w:tcBorders>
              <w:top w:val="nil"/>
              <w:left w:val="nil"/>
              <w:bottom w:val="nil"/>
              <w:right w:val="nil"/>
            </w:tcBorders>
            <w:shd w:val="clear" w:color="auto" w:fill="auto"/>
            <w:noWrap/>
            <w:vAlign w:val="bottom"/>
            <w:hideMark/>
          </w:tcPr>
          <w:p w14:paraId="72AF5393" w14:textId="77777777" w:rsidR="00C86892" w:rsidRPr="00AE7424" w:rsidRDefault="00C86892" w:rsidP="00C86892">
            <w:pPr>
              <w:spacing w:after="0" w:line="240" w:lineRule="auto"/>
              <w:jc w:val="center"/>
              <w:rPr>
                <w:rFonts w:ascii="Times New Roman" w:eastAsia="Times New Roman" w:hAnsi="Times New Roman" w:cs="Times New Roman"/>
                <w:sz w:val="24"/>
                <w:szCs w:val="24"/>
              </w:rPr>
            </w:pPr>
          </w:p>
        </w:tc>
        <w:tc>
          <w:tcPr>
            <w:tcW w:w="2407" w:type="dxa"/>
            <w:gridSpan w:val="2"/>
            <w:tcBorders>
              <w:top w:val="nil"/>
              <w:left w:val="nil"/>
              <w:bottom w:val="nil"/>
              <w:right w:val="nil"/>
            </w:tcBorders>
            <w:shd w:val="clear" w:color="auto" w:fill="auto"/>
            <w:noWrap/>
            <w:vAlign w:val="bottom"/>
            <w:hideMark/>
          </w:tcPr>
          <w:p w14:paraId="4B262CF5" w14:textId="77777777" w:rsidR="00C86892" w:rsidRPr="00AE7424" w:rsidRDefault="00C86892" w:rsidP="00C86892">
            <w:pPr>
              <w:spacing w:after="0" w:line="240" w:lineRule="auto"/>
              <w:jc w:val="center"/>
              <w:rPr>
                <w:rFonts w:ascii="Times New Roman" w:eastAsia="Times New Roman" w:hAnsi="Times New Roman" w:cs="Times New Roman"/>
                <w:sz w:val="24"/>
                <w:szCs w:val="24"/>
              </w:rPr>
            </w:pPr>
          </w:p>
        </w:tc>
        <w:tc>
          <w:tcPr>
            <w:tcW w:w="2408" w:type="dxa"/>
            <w:gridSpan w:val="2"/>
            <w:tcBorders>
              <w:top w:val="nil"/>
              <w:left w:val="nil"/>
              <w:bottom w:val="nil"/>
              <w:right w:val="nil"/>
            </w:tcBorders>
            <w:shd w:val="clear" w:color="auto" w:fill="auto"/>
            <w:noWrap/>
            <w:vAlign w:val="bottom"/>
            <w:hideMark/>
          </w:tcPr>
          <w:p w14:paraId="129784E7" w14:textId="77777777" w:rsidR="00C86892" w:rsidRPr="00AE7424" w:rsidRDefault="00C86892" w:rsidP="00C86892">
            <w:pPr>
              <w:spacing w:after="0" w:line="240" w:lineRule="auto"/>
              <w:jc w:val="center"/>
              <w:rPr>
                <w:rFonts w:ascii="Times New Roman" w:eastAsia="Times New Roman" w:hAnsi="Times New Roman" w:cs="Times New Roman"/>
                <w:sz w:val="24"/>
                <w:szCs w:val="24"/>
              </w:rPr>
            </w:pPr>
          </w:p>
        </w:tc>
      </w:tr>
      <w:tr w:rsidR="00AE7424" w:rsidRPr="000E5B76" w14:paraId="0936D3BA" w14:textId="77777777" w:rsidTr="00757100">
        <w:tblPrEx>
          <w:jc w:val="left"/>
        </w:tblPrEx>
        <w:trPr>
          <w:trHeight w:val="280"/>
        </w:trPr>
        <w:tc>
          <w:tcPr>
            <w:tcW w:w="4050" w:type="dxa"/>
            <w:gridSpan w:val="2"/>
            <w:tcBorders>
              <w:top w:val="nil"/>
              <w:left w:val="nil"/>
              <w:bottom w:val="nil"/>
              <w:right w:val="nil"/>
            </w:tcBorders>
            <w:shd w:val="clear" w:color="auto" w:fill="auto"/>
            <w:noWrap/>
            <w:vAlign w:val="bottom"/>
            <w:hideMark/>
          </w:tcPr>
          <w:p w14:paraId="75CDC20E" w14:textId="77777777" w:rsidR="00AE7424" w:rsidRPr="00F055F4" w:rsidRDefault="00AE7424" w:rsidP="00AE7424">
            <w:pPr>
              <w:spacing w:after="0" w:line="240" w:lineRule="auto"/>
              <w:rPr>
                <w:rFonts w:ascii="Times New Roman" w:eastAsia="Times New Roman" w:hAnsi="Times New Roman" w:cs="Times New Roman"/>
                <w:color w:val="000000"/>
                <w:sz w:val="24"/>
                <w:szCs w:val="24"/>
              </w:rPr>
            </w:pPr>
            <w:r w:rsidRPr="00A446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1) R</w:t>
            </w:r>
            <w:r w:rsidRPr="0066434B">
              <w:rPr>
                <w:rFonts w:ascii="Times New Roman" w:eastAsia="Times New Roman" w:hAnsi="Times New Roman" w:cs="Times New Roman"/>
                <w:color w:val="000000"/>
                <w:sz w:val="24"/>
                <w:szCs w:val="24"/>
              </w:rPr>
              <w:t xml:space="preserve">aise BA </w:t>
            </w:r>
            <w:r>
              <w:rPr>
                <w:rFonts w:ascii="Times New Roman" w:eastAsia="Times New Roman" w:hAnsi="Times New Roman" w:cs="Times New Roman"/>
                <w:color w:val="000000"/>
                <w:sz w:val="24"/>
                <w:szCs w:val="24"/>
              </w:rPr>
              <w:t xml:space="preserve">share </w:t>
            </w:r>
            <w:r w:rsidRPr="0066434B">
              <w:rPr>
                <w:rFonts w:ascii="Times New Roman" w:eastAsia="Times New Roman" w:hAnsi="Times New Roman" w:cs="Times New Roman"/>
                <w:color w:val="000000"/>
                <w:sz w:val="24"/>
                <w:szCs w:val="24"/>
              </w:rPr>
              <w:t>to 50%</w:t>
            </w:r>
          </w:p>
        </w:tc>
        <w:tc>
          <w:tcPr>
            <w:tcW w:w="2407" w:type="dxa"/>
            <w:gridSpan w:val="2"/>
            <w:tcBorders>
              <w:top w:val="nil"/>
              <w:left w:val="nil"/>
              <w:bottom w:val="nil"/>
              <w:right w:val="nil"/>
            </w:tcBorders>
            <w:shd w:val="clear" w:color="auto" w:fill="auto"/>
            <w:noWrap/>
            <w:vAlign w:val="bottom"/>
            <w:hideMark/>
          </w:tcPr>
          <w:p w14:paraId="719A8653" w14:textId="4EC19415" w:rsidR="00AE7424" w:rsidRPr="00AE7424" w:rsidRDefault="00AE7424" w:rsidP="00AE7424">
            <w:pPr>
              <w:spacing w:after="0" w:line="240" w:lineRule="auto"/>
              <w:jc w:val="center"/>
              <w:rPr>
                <w:rFonts w:ascii="Times New Roman" w:eastAsia="Times New Roman" w:hAnsi="Times New Roman" w:cs="Times New Roman"/>
                <w:color w:val="000000"/>
                <w:sz w:val="24"/>
                <w:szCs w:val="24"/>
              </w:rPr>
            </w:pPr>
            <w:r w:rsidRPr="00AE7424">
              <w:rPr>
                <w:rFonts w:ascii="Times New Roman" w:hAnsi="Times New Roman" w:cs="Times New Roman"/>
                <w:color w:val="000000"/>
                <w:sz w:val="24"/>
                <w:szCs w:val="24"/>
              </w:rPr>
              <w:t>5.42%</w:t>
            </w:r>
          </w:p>
        </w:tc>
        <w:tc>
          <w:tcPr>
            <w:tcW w:w="2408" w:type="dxa"/>
            <w:gridSpan w:val="2"/>
            <w:tcBorders>
              <w:top w:val="nil"/>
              <w:left w:val="nil"/>
              <w:bottom w:val="nil"/>
              <w:right w:val="nil"/>
            </w:tcBorders>
            <w:shd w:val="clear" w:color="auto" w:fill="auto"/>
            <w:noWrap/>
            <w:vAlign w:val="bottom"/>
            <w:hideMark/>
          </w:tcPr>
          <w:p w14:paraId="50200614" w14:textId="7C0104A6" w:rsidR="00AE7424" w:rsidRPr="00AE7424" w:rsidRDefault="00AE7424" w:rsidP="00AE7424">
            <w:pPr>
              <w:spacing w:after="0" w:line="240" w:lineRule="auto"/>
              <w:jc w:val="center"/>
              <w:rPr>
                <w:rFonts w:ascii="Times New Roman" w:eastAsia="Times New Roman" w:hAnsi="Times New Roman" w:cs="Times New Roman"/>
                <w:color w:val="000000"/>
                <w:sz w:val="24"/>
                <w:szCs w:val="24"/>
              </w:rPr>
            </w:pPr>
            <w:r w:rsidRPr="00AE7424">
              <w:rPr>
                <w:rFonts w:ascii="Times New Roman" w:hAnsi="Times New Roman" w:cs="Times New Roman"/>
                <w:color w:val="000000"/>
                <w:sz w:val="24"/>
                <w:szCs w:val="24"/>
              </w:rPr>
              <w:t>10.72%</w:t>
            </w:r>
          </w:p>
        </w:tc>
        <w:tc>
          <w:tcPr>
            <w:tcW w:w="2407" w:type="dxa"/>
            <w:gridSpan w:val="2"/>
            <w:tcBorders>
              <w:top w:val="nil"/>
              <w:left w:val="nil"/>
              <w:bottom w:val="nil"/>
              <w:right w:val="nil"/>
            </w:tcBorders>
            <w:shd w:val="clear" w:color="auto" w:fill="auto"/>
            <w:noWrap/>
            <w:vAlign w:val="bottom"/>
            <w:hideMark/>
          </w:tcPr>
          <w:p w14:paraId="779604B4" w14:textId="31AEBC48" w:rsidR="00AE7424" w:rsidRPr="00AE7424" w:rsidRDefault="00AE7424" w:rsidP="00AE7424">
            <w:pPr>
              <w:spacing w:after="0" w:line="240" w:lineRule="auto"/>
              <w:jc w:val="center"/>
              <w:rPr>
                <w:rFonts w:ascii="Times New Roman" w:eastAsia="Times New Roman" w:hAnsi="Times New Roman" w:cs="Times New Roman"/>
                <w:color w:val="000000"/>
                <w:sz w:val="24"/>
                <w:szCs w:val="24"/>
              </w:rPr>
            </w:pPr>
            <w:r w:rsidRPr="00AE7424">
              <w:rPr>
                <w:rFonts w:ascii="Times New Roman" w:hAnsi="Times New Roman" w:cs="Times New Roman"/>
                <w:color w:val="000000"/>
                <w:sz w:val="24"/>
                <w:szCs w:val="24"/>
              </w:rPr>
              <w:t>17.26%</w:t>
            </w:r>
          </w:p>
        </w:tc>
        <w:tc>
          <w:tcPr>
            <w:tcW w:w="2408" w:type="dxa"/>
            <w:gridSpan w:val="2"/>
            <w:tcBorders>
              <w:top w:val="nil"/>
              <w:left w:val="nil"/>
              <w:bottom w:val="nil"/>
              <w:right w:val="nil"/>
            </w:tcBorders>
            <w:shd w:val="clear" w:color="auto" w:fill="auto"/>
            <w:noWrap/>
            <w:vAlign w:val="bottom"/>
            <w:hideMark/>
          </w:tcPr>
          <w:p w14:paraId="513F6C9E" w14:textId="3BDEFC79" w:rsidR="00AE7424" w:rsidRPr="00AE7424" w:rsidRDefault="00AE7424" w:rsidP="00AE7424">
            <w:pPr>
              <w:spacing w:after="0" w:line="240" w:lineRule="auto"/>
              <w:jc w:val="center"/>
              <w:rPr>
                <w:rFonts w:ascii="Times New Roman" w:eastAsia="Times New Roman" w:hAnsi="Times New Roman" w:cs="Times New Roman"/>
                <w:color w:val="000000"/>
                <w:sz w:val="24"/>
                <w:szCs w:val="24"/>
              </w:rPr>
            </w:pPr>
            <w:r w:rsidRPr="00AE7424">
              <w:rPr>
                <w:rFonts w:ascii="Times New Roman" w:hAnsi="Times New Roman" w:cs="Times New Roman"/>
                <w:color w:val="000000"/>
                <w:sz w:val="24"/>
                <w:szCs w:val="24"/>
              </w:rPr>
              <w:t>24.38%</w:t>
            </w:r>
          </w:p>
        </w:tc>
      </w:tr>
      <w:tr w:rsidR="00AE7424" w:rsidRPr="000E5B76" w14:paraId="6153CB2E" w14:textId="77777777" w:rsidTr="00757100">
        <w:tblPrEx>
          <w:jc w:val="left"/>
        </w:tblPrEx>
        <w:trPr>
          <w:trHeight w:val="280"/>
        </w:trPr>
        <w:tc>
          <w:tcPr>
            <w:tcW w:w="4050" w:type="dxa"/>
            <w:gridSpan w:val="2"/>
            <w:tcBorders>
              <w:top w:val="nil"/>
              <w:left w:val="nil"/>
              <w:right w:val="nil"/>
            </w:tcBorders>
            <w:shd w:val="clear" w:color="auto" w:fill="auto"/>
            <w:noWrap/>
            <w:vAlign w:val="bottom"/>
            <w:hideMark/>
          </w:tcPr>
          <w:p w14:paraId="17653062" w14:textId="77777777" w:rsidR="00AE7424" w:rsidRPr="00F055F4" w:rsidRDefault="00AE7424" w:rsidP="00AE7424">
            <w:pPr>
              <w:spacing w:after="0" w:line="240" w:lineRule="auto"/>
              <w:rPr>
                <w:rFonts w:ascii="Times New Roman" w:eastAsia="Times New Roman" w:hAnsi="Times New Roman" w:cs="Times New Roman"/>
                <w:color w:val="000000"/>
                <w:sz w:val="24"/>
                <w:szCs w:val="24"/>
              </w:rPr>
            </w:pPr>
            <w:r w:rsidRPr="00A446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2) + Raise A</w:t>
            </w:r>
            <w:r w:rsidRPr="0066434B">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share to 15</w:t>
            </w:r>
            <w:r w:rsidRPr="0066434B">
              <w:rPr>
                <w:rFonts w:ascii="Times New Roman" w:eastAsia="Times New Roman" w:hAnsi="Times New Roman" w:cs="Times New Roman"/>
                <w:color w:val="000000"/>
                <w:sz w:val="24"/>
                <w:szCs w:val="24"/>
              </w:rPr>
              <w:t>%</w:t>
            </w:r>
          </w:p>
        </w:tc>
        <w:tc>
          <w:tcPr>
            <w:tcW w:w="2407" w:type="dxa"/>
            <w:gridSpan w:val="2"/>
            <w:tcBorders>
              <w:top w:val="nil"/>
              <w:left w:val="nil"/>
              <w:right w:val="nil"/>
            </w:tcBorders>
            <w:shd w:val="clear" w:color="auto" w:fill="auto"/>
            <w:noWrap/>
            <w:vAlign w:val="bottom"/>
            <w:hideMark/>
          </w:tcPr>
          <w:p w14:paraId="1FFDE0B7" w14:textId="348C51C2" w:rsidR="00AE7424" w:rsidRPr="00AE7424" w:rsidRDefault="00AE7424" w:rsidP="00AE7424">
            <w:pPr>
              <w:spacing w:after="0" w:line="240" w:lineRule="auto"/>
              <w:jc w:val="center"/>
              <w:rPr>
                <w:rFonts w:ascii="Times New Roman" w:eastAsia="Times New Roman" w:hAnsi="Times New Roman" w:cs="Times New Roman"/>
                <w:color w:val="000000"/>
                <w:sz w:val="24"/>
                <w:szCs w:val="24"/>
              </w:rPr>
            </w:pPr>
            <w:r w:rsidRPr="00AE7424">
              <w:rPr>
                <w:rFonts w:ascii="Times New Roman" w:hAnsi="Times New Roman" w:cs="Times New Roman"/>
                <w:color w:val="000000"/>
                <w:sz w:val="24"/>
                <w:szCs w:val="24"/>
              </w:rPr>
              <w:t>5.34%</w:t>
            </w:r>
          </w:p>
        </w:tc>
        <w:tc>
          <w:tcPr>
            <w:tcW w:w="2408" w:type="dxa"/>
            <w:gridSpan w:val="2"/>
            <w:tcBorders>
              <w:top w:val="nil"/>
              <w:left w:val="nil"/>
              <w:right w:val="nil"/>
            </w:tcBorders>
            <w:shd w:val="clear" w:color="auto" w:fill="auto"/>
            <w:noWrap/>
            <w:vAlign w:val="bottom"/>
            <w:hideMark/>
          </w:tcPr>
          <w:p w14:paraId="69A2A066" w14:textId="783AEDCA" w:rsidR="00AE7424" w:rsidRPr="00AE7424" w:rsidRDefault="00AE7424" w:rsidP="00AE7424">
            <w:pPr>
              <w:spacing w:after="0" w:line="240" w:lineRule="auto"/>
              <w:jc w:val="center"/>
              <w:rPr>
                <w:rFonts w:ascii="Times New Roman" w:eastAsia="Times New Roman" w:hAnsi="Times New Roman" w:cs="Times New Roman"/>
                <w:color w:val="000000"/>
                <w:sz w:val="24"/>
                <w:szCs w:val="24"/>
              </w:rPr>
            </w:pPr>
            <w:r w:rsidRPr="00AE7424">
              <w:rPr>
                <w:rFonts w:ascii="Times New Roman" w:hAnsi="Times New Roman" w:cs="Times New Roman"/>
                <w:color w:val="000000"/>
                <w:sz w:val="24"/>
                <w:szCs w:val="24"/>
              </w:rPr>
              <w:t>10.51%</w:t>
            </w:r>
          </w:p>
        </w:tc>
        <w:tc>
          <w:tcPr>
            <w:tcW w:w="2407" w:type="dxa"/>
            <w:gridSpan w:val="2"/>
            <w:tcBorders>
              <w:top w:val="nil"/>
              <w:left w:val="nil"/>
              <w:right w:val="nil"/>
            </w:tcBorders>
            <w:shd w:val="clear" w:color="auto" w:fill="auto"/>
            <w:noWrap/>
            <w:vAlign w:val="bottom"/>
            <w:hideMark/>
          </w:tcPr>
          <w:p w14:paraId="1EF053AE" w14:textId="1E3FCA4C" w:rsidR="00AE7424" w:rsidRPr="00AE7424" w:rsidRDefault="00AE7424" w:rsidP="00AE7424">
            <w:pPr>
              <w:spacing w:after="0" w:line="240" w:lineRule="auto"/>
              <w:jc w:val="center"/>
              <w:rPr>
                <w:rFonts w:ascii="Times New Roman" w:eastAsia="Times New Roman" w:hAnsi="Times New Roman" w:cs="Times New Roman"/>
                <w:color w:val="000000"/>
                <w:sz w:val="24"/>
                <w:szCs w:val="24"/>
              </w:rPr>
            </w:pPr>
            <w:r w:rsidRPr="00AE7424">
              <w:rPr>
                <w:rFonts w:ascii="Times New Roman" w:hAnsi="Times New Roman" w:cs="Times New Roman"/>
                <w:color w:val="000000"/>
                <w:sz w:val="24"/>
                <w:szCs w:val="24"/>
              </w:rPr>
              <w:t>16.81%</w:t>
            </w:r>
          </w:p>
        </w:tc>
        <w:tc>
          <w:tcPr>
            <w:tcW w:w="2408" w:type="dxa"/>
            <w:gridSpan w:val="2"/>
            <w:tcBorders>
              <w:top w:val="nil"/>
              <w:left w:val="nil"/>
              <w:right w:val="nil"/>
            </w:tcBorders>
            <w:shd w:val="clear" w:color="auto" w:fill="auto"/>
            <w:noWrap/>
            <w:vAlign w:val="bottom"/>
            <w:hideMark/>
          </w:tcPr>
          <w:p w14:paraId="04C6FFE6" w14:textId="154F68B5" w:rsidR="00AE7424" w:rsidRPr="00AE7424" w:rsidRDefault="00AE7424" w:rsidP="00AE7424">
            <w:pPr>
              <w:spacing w:after="0" w:line="240" w:lineRule="auto"/>
              <w:jc w:val="center"/>
              <w:rPr>
                <w:rFonts w:ascii="Times New Roman" w:eastAsia="Times New Roman" w:hAnsi="Times New Roman" w:cs="Times New Roman"/>
                <w:color w:val="000000"/>
                <w:sz w:val="24"/>
                <w:szCs w:val="24"/>
              </w:rPr>
            </w:pPr>
            <w:r w:rsidRPr="00AE7424">
              <w:rPr>
                <w:rFonts w:ascii="Times New Roman" w:hAnsi="Times New Roman" w:cs="Times New Roman"/>
                <w:color w:val="000000"/>
                <w:sz w:val="24"/>
                <w:szCs w:val="24"/>
              </w:rPr>
              <w:t>23.89%</w:t>
            </w:r>
          </w:p>
        </w:tc>
      </w:tr>
      <w:tr w:rsidR="00AE7424" w:rsidRPr="000E5B76" w14:paraId="697C2128" w14:textId="77777777" w:rsidTr="00757100">
        <w:tblPrEx>
          <w:jc w:val="left"/>
        </w:tblPrEx>
        <w:trPr>
          <w:trHeight w:val="280"/>
        </w:trPr>
        <w:tc>
          <w:tcPr>
            <w:tcW w:w="4050" w:type="dxa"/>
            <w:gridSpan w:val="2"/>
            <w:tcBorders>
              <w:top w:val="nil"/>
              <w:left w:val="nil"/>
              <w:right w:val="nil"/>
            </w:tcBorders>
            <w:shd w:val="clear" w:color="auto" w:fill="auto"/>
            <w:noWrap/>
            <w:vAlign w:val="bottom"/>
            <w:hideMark/>
          </w:tcPr>
          <w:p w14:paraId="66A69F7E" w14:textId="77777777" w:rsidR="00AE7424" w:rsidRPr="00F055F4" w:rsidRDefault="00AE7424" w:rsidP="00AE7424">
            <w:pPr>
              <w:spacing w:after="0" w:line="240" w:lineRule="auto"/>
              <w:rPr>
                <w:rFonts w:ascii="Times New Roman" w:eastAsia="Times New Roman" w:hAnsi="Times New Roman" w:cs="Times New Roman"/>
                <w:color w:val="000000"/>
                <w:sz w:val="24"/>
                <w:szCs w:val="24"/>
              </w:rPr>
            </w:pPr>
            <w:r w:rsidRPr="00A446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3) 6</w:t>
            </w:r>
            <w:r w:rsidRPr="0066434B">
              <w:rPr>
                <w:rFonts w:ascii="Times New Roman" w:eastAsia="Times New Roman" w:hAnsi="Times New Roman" w:cs="Times New Roman"/>
                <w:color w:val="000000"/>
                <w:sz w:val="24"/>
                <w:szCs w:val="24"/>
              </w:rPr>
              <w:t xml:space="preserve">0% </w:t>
            </w:r>
            <w:r>
              <w:rPr>
                <w:rFonts w:ascii="Times New Roman" w:eastAsia="Times New Roman" w:hAnsi="Times New Roman" w:cs="Times New Roman"/>
                <w:color w:val="000000"/>
                <w:sz w:val="24"/>
                <w:szCs w:val="24"/>
              </w:rPr>
              <w:t>B</w:t>
            </w:r>
            <w:r w:rsidRPr="0066434B">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share</w:t>
            </w:r>
            <w:r w:rsidRPr="0066434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w:t>
            </w:r>
            <w:r w:rsidRPr="0066434B">
              <w:rPr>
                <w:rFonts w:ascii="Times New Roman" w:eastAsia="Times New Roman" w:hAnsi="Times New Roman" w:cs="Times New Roman"/>
                <w:color w:val="000000"/>
                <w:sz w:val="24"/>
                <w:szCs w:val="24"/>
              </w:rPr>
              <w:t xml:space="preserve">0% </w:t>
            </w:r>
            <w:r>
              <w:rPr>
                <w:rFonts w:ascii="Times New Roman" w:eastAsia="Times New Roman" w:hAnsi="Times New Roman" w:cs="Times New Roman"/>
                <w:color w:val="000000"/>
                <w:sz w:val="24"/>
                <w:szCs w:val="24"/>
              </w:rPr>
              <w:t>A</w:t>
            </w:r>
            <w:r w:rsidRPr="0066434B">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share</w:t>
            </w:r>
          </w:p>
        </w:tc>
        <w:tc>
          <w:tcPr>
            <w:tcW w:w="2407" w:type="dxa"/>
            <w:gridSpan w:val="2"/>
            <w:tcBorders>
              <w:top w:val="nil"/>
              <w:left w:val="nil"/>
              <w:right w:val="nil"/>
            </w:tcBorders>
            <w:shd w:val="clear" w:color="auto" w:fill="auto"/>
            <w:noWrap/>
            <w:vAlign w:val="bottom"/>
            <w:hideMark/>
          </w:tcPr>
          <w:p w14:paraId="21418150" w14:textId="591EE8A4" w:rsidR="00AE7424" w:rsidRPr="00AE7424" w:rsidRDefault="00AE7424" w:rsidP="00AE7424">
            <w:pPr>
              <w:spacing w:after="0" w:line="240" w:lineRule="auto"/>
              <w:jc w:val="center"/>
              <w:rPr>
                <w:rFonts w:ascii="Times New Roman" w:eastAsia="Times New Roman" w:hAnsi="Times New Roman" w:cs="Times New Roman"/>
                <w:color w:val="000000"/>
                <w:sz w:val="24"/>
                <w:szCs w:val="24"/>
              </w:rPr>
            </w:pPr>
            <w:r w:rsidRPr="00AE7424">
              <w:rPr>
                <w:rFonts w:ascii="Times New Roman" w:hAnsi="Times New Roman" w:cs="Times New Roman"/>
                <w:color w:val="000000"/>
                <w:sz w:val="24"/>
                <w:szCs w:val="24"/>
              </w:rPr>
              <w:t>5.26%</w:t>
            </w:r>
          </w:p>
        </w:tc>
        <w:tc>
          <w:tcPr>
            <w:tcW w:w="2408" w:type="dxa"/>
            <w:gridSpan w:val="2"/>
            <w:tcBorders>
              <w:top w:val="nil"/>
              <w:left w:val="nil"/>
              <w:right w:val="nil"/>
            </w:tcBorders>
            <w:shd w:val="clear" w:color="auto" w:fill="auto"/>
            <w:noWrap/>
            <w:vAlign w:val="bottom"/>
            <w:hideMark/>
          </w:tcPr>
          <w:p w14:paraId="690A9A0D" w14:textId="6BAE562A" w:rsidR="00AE7424" w:rsidRPr="00AE7424" w:rsidRDefault="00AE7424" w:rsidP="00AE7424">
            <w:pPr>
              <w:spacing w:after="0" w:line="240" w:lineRule="auto"/>
              <w:jc w:val="center"/>
              <w:rPr>
                <w:rFonts w:ascii="Times New Roman" w:eastAsia="Times New Roman" w:hAnsi="Times New Roman" w:cs="Times New Roman"/>
                <w:color w:val="000000"/>
                <w:sz w:val="24"/>
                <w:szCs w:val="24"/>
              </w:rPr>
            </w:pPr>
            <w:r w:rsidRPr="00AE7424">
              <w:rPr>
                <w:rFonts w:ascii="Times New Roman" w:hAnsi="Times New Roman" w:cs="Times New Roman"/>
                <w:color w:val="000000"/>
                <w:sz w:val="24"/>
                <w:szCs w:val="24"/>
              </w:rPr>
              <w:t>10.13%</w:t>
            </w:r>
          </w:p>
        </w:tc>
        <w:tc>
          <w:tcPr>
            <w:tcW w:w="2407" w:type="dxa"/>
            <w:gridSpan w:val="2"/>
            <w:tcBorders>
              <w:top w:val="nil"/>
              <w:left w:val="nil"/>
              <w:right w:val="nil"/>
            </w:tcBorders>
            <w:shd w:val="clear" w:color="auto" w:fill="auto"/>
            <w:noWrap/>
            <w:vAlign w:val="bottom"/>
            <w:hideMark/>
          </w:tcPr>
          <w:p w14:paraId="56C4C335" w14:textId="394EE971" w:rsidR="00AE7424" w:rsidRPr="00AE7424" w:rsidRDefault="00AE7424" w:rsidP="00AE7424">
            <w:pPr>
              <w:spacing w:after="0" w:line="240" w:lineRule="auto"/>
              <w:jc w:val="center"/>
              <w:rPr>
                <w:rFonts w:ascii="Times New Roman" w:eastAsia="Times New Roman" w:hAnsi="Times New Roman" w:cs="Times New Roman"/>
                <w:color w:val="000000"/>
                <w:sz w:val="24"/>
                <w:szCs w:val="24"/>
              </w:rPr>
            </w:pPr>
            <w:r w:rsidRPr="00AE7424">
              <w:rPr>
                <w:rFonts w:ascii="Times New Roman" w:hAnsi="Times New Roman" w:cs="Times New Roman"/>
                <w:color w:val="000000"/>
                <w:sz w:val="24"/>
                <w:szCs w:val="24"/>
              </w:rPr>
              <w:t>16.08%</w:t>
            </w:r>
          </w:p>
        </w:tc>
        <w:tc>
          <w:tcPr>
            <w:tcW w:w="2408" w:type="dxa"/>
            <w:gridSpan w:val="2"/>
            <w:tcBorders>
              <w:top w:val="nil"/>
              <w:left w:val="nil"/>
              <w:right w:val="nil"/>
            </w:tcBorders>
            <w:shd w:val="clear" w:color="auto" w:fill="auto"/>
            <w:noWrap/>
            <w:vAlign w:val="bottom"/>
            <w:hideMark/>
          </w:tcPr>
          <w:p w14:paraId="5581A3F7" w14:textId="7599D8CE" w:rsidR="00AE7424" w:rsidRPr="00AE7424" w:rsidRDefault="00AE7424" w:rsidP="00AE7424">
            <w:pPr>
              <w:spacing w:after="0" w:line="240" w:lineRule="auto"/>
              <w:jc w:val="center"/>
              <w:rPr>
                <w:rFonts w:ascii="Times New Roman" w:eastAsia="Times New Roman" w:hAnsi="Times New Roman" w:cs="Times New Roman"/>
                <w:color w:val="000000"/>
                <w:sz w:val="24"/>
                <w:szCs w:val="24"/>
              </w:rPr>
            </w:pPr>
            <w:r w:rsidRPr="00AE7424">
              <w:rPr>
                <w:rFonts w:ascii="Times New Roman" w:hAnsi="Times New Roman" w:cs="Times New Roman"/>
                <w:color w:val="000000"/>
                <w:sz w:val="24"/>
                <w:szCs w:val="24"/>
              </w:rPr>
              <w:t>22.76%</w:t>
            </w:r>
          </w:p>
        </w:tc>
      </w:tr>
      <w:tr w:rsidR="000F7C00" w:rsidRPr="00996FA1" w14:paraId="171FC474" w14:textId="77777777" w:rsidTr="00211FA3">
        <w:tblPrEx>
          <w:jc w:val="left"/>
        </w:tblPrEx>
        <w:trPr>
          <w:trHeight w:val="87"/>
        </w:trPr>
        <w:tc>
          <w:tcPr>
            <w:tcW w:w="2736" w:type="dxa"/>
            <w:tcBorders>
              <w:left w:val="nil"/>
              <w:bottom w:val="single" w:sz="4" w:space="0" w:color="auto"/>
              <w:right w:val="nil"/>
            </w:tcBorders>
            <w:shd w:val="clear" w:color="auto" w:fill="auto"/>
            <w:noWrap/>
            <w:vAlign w:val="bottom"/>
          </w:tcPr>
          <w:p w14:paraId="5A10E0FC" w14:textId="77777777" w:rsidR="000F7C00" w:rsidRPr="00996FA1" w:rsidRDefault="000F7C00" w:rsidP="00211FA3">
            <w:pPr>
              <w:spacing w:after="0" w:line="240" w:lineRule="auto"/>
              <w:jc w:val="right"/>
              <w:rPr>
                <w:rFonts w:ascii="Times New Roman" w:eastAsia="Times New Roman" w:hAnsi="Times New Roman" w:cs="Times New Roman"/>
                <w:color w:val="000000"/>
                <w:sz w:val="8"/>
                <w:szCs w:val="8"/>
              </w:rPr>
            </w:pPr>
          </w:p>
        </w:tc>
        <w:tc>
          <w:tcPr>
            <w:tcW w:w="2736" w:type="dxa"/>
            <w:gridSpan w:val="2"/>
            <w:tcBorders>
              <w:left w:val="nil"/>
              <w:bottom w:val="single" w:sz="4" w:space="0" w:color="auto"/>
              <w:right w:val="nil"/>
            </w:tcBorders>
            <w:shd w:val="clear" w:color="auto" w:fill="auto"/>
            <w:noWrap/>
            <w:vAlign w:val="bottom"/>
          </w:tcPr>
          <w:p w14:paraId="5493FB23" w14:textId="77777777" w:rsidR="000F7C00" w:rsidRPr="00996FA1" w:rsidRDefault="000F7C00" w:rsidP="00211FA3">
            <w:pPr>
              <w:spacing w:after="0" w:line="240" w:lineRule="auto"/>
              <w:jc w:val="right"/>
              <w:rPr>
                <w:rFonts w:ascii="Times New Roman" w:eastAsia="Times New Roman" w:hAnsi="Times New Roman" w:cs="Times New Roman"/>
                <w:color w:val="000000"/>
                <w:sz w:val="8"/>
                <w:szCs w:val="8"/>
              </w:rPr>
            </w:pPr>
          </w:p>
        </w:tc>
        <w:tc>
          <w:tcPr>
            <w:tcW w:w="2736" w:type="dxa"/>
            <w:gridSpan w:val="2"/>
            <w:tcBorders>
              <w:left w:val="nil"/>
              <w:bottom w:val="single" w:sz="4" w:space="0" w:color="auto"/>
              <w:right w:val="nil"/>
            </w:tcBorders>
            <w:shd w:val="clear" w:color="auto" w:fill="auto"/>
            <w:noWrap/>
            <w:vAlign w:val="bottom"/>
          </w:tcPr>
          <w:p w14:paraId="4C165484" w14:textId="77777777" w:rsidR="000F7C00" w:rsidRPr="00996FA1" w:rsidRDefault="000F7C00" w:rsidP="00211FA3">
            <w:pPr>
              <w:spacing w:after="0" w:line="240" w:lineRule="auto"/>
              <w:jc w:val="right"/>
              <w:rPr>
                <w:rFonts w:ascii="Times New Roman" w:eastAsia="Times New Roman" w:hAnsi="Times New Roman" w:cs="Times New Roman"/>
                <w:color w:val="000000"/>
                <w:sz w:val="8"/>
                <w:szCs w:val="8"/>
              </w:rPr>
            </w:pPr>
          </w:p>
        </w:tc>
        <w:tc>
          <w:tcPr>
            <w:tcW w:w="2736" w:type="dxa"/>
            <w:gridSpan w:val="2"/>
            <w:tcBorders>
              <w:left w:val="nil"/>
              <w:bottom w:val="single" w:sz="4" w:space="0" w:color="auto"/>
              <w:right w:val="nil"/>
            </w:tcBorders>
            <w:shd w:val="clear" w:color="auto" w:fill="auto"/>
            <w:noWrap/>
            <w:vAlign w:val="bottom"/>
          </w:tcPr>
          <w:p w14:paraId="0FB52DE3" w14:textId="77777777" w:rsidR="000F7C00" w:rsidRPr="00996FA1" w:rsidRDefault="000F7C00" w:rsidP="00211FA3">
            <w:pPr>
              <w:spacing w:after="0" w:line="240" w:lineRule="auto"/>
              <w:jc w:val="right"/>
              <w:rPr>
                <w:rFonts w:ascii="Times New Roman" w:eastAsia="Times New Roman" w:hAnsi="Times New Roman" w:cs="Times New Roman"/>
                <w:color w:val="000000"/>
                <w:sz w:val="8"/>
                <w:szCs w:val="8"/>
              </w:rPr>
            </w:pPr>
          </w:p>
        </w:tc>
        <w:tc>
          <w:tcPr>
            <w:tcW w:w="2736" w:type="dxa"/>
            <w:gridSpan w:val="3"/>
            <w:tcBorders>
              <w:left w:val="nil"/>
              <w:bottom w:val="single" w:sz="4" w:space="0" w:color="auto"/>
              <w:right w:val="nil"/>
            </w:tcBorders>
            <w:shd w:val="clear" w:color="auto" w:fill="auto"/>
            <w:noWrap/>
            <w:vAlign w:val="bottom"/>
          </w:tcPr>
          <w:p w14:paraId="34AE2074" w14:textId="77777777" w:rsidR="000F7C00" w:rsidRPr="00996FA1" w:rsidRDefault="000F7C00" w:rsidP="00211FA3">
            <w:pPr>
              <w:spacing w:after="0" w:line="240" w:lineRule="auto"/>
              <w:jc w:val="right"/>
              <w:rPr>
                <w:rFonts w:ascii="Times New Roman" w:eastAsia="Times New Roman" w:hAnsi="Times New Roman" w:cs="Times New Roman"/>
                <w:color w:val="000000"/>
                <w:sz w:val="8"/>
                <w:szCs w:val="8"/>
              </w:rPr>
            </w:pPr>
          </w:p>
        </w:tc>
      </w:tr>
      <w:tr w:rsidR="000F7C00" w:rsidRPr="000E5B76" w14:paraId="35EF3FD6" w14:textId="77777777" w:rsidTr="00211FA3">
        <w:tblPrEx>
          <w:jc w:val="left"/>
        </w:tblPrEx>
        <w:trPr>
          <w:trHeight w:val="570"/>
        </w:trPr>
        <w:tc>
          <w:tcPr>
            <w:tcW w:w="13680" w:type="dxa"/>
            <w:gridSpan w:val="10"/>
            <w:tcBorders>
              <w:top w:val="single" w:sz="4" w:space="0" w:color="auto"/>
              <w:left w:val="nil"/>
              <w:bottom w:val="nil"/>
              <w:right w:val="nil"/>
            </w:tcBorders>
            <w:shd w:val="clear" w:color="auto" w:fill="auto"/>
            <w:hideMark/>
          </w:tcPr>
          <w:p w14:paraId="38C06677" w14:textId="77777777" w:rsidR="000F7C00" w:rsidRDefault="000F7C00" w:rsidP="00211FA3">
            <w:pPr>
              <w:spacing w:before="120" w:after="0" w:line="240" w:lineRule="auto"/>
              <w:rPr>
                <w:rFonts w:ascii="Times New Roman" w:eastAsia="Times New Roman" w:hAnsi="Times New Roman" w:cs="Times New Roman"/>
                <w:color w:val="000000"/>
                <w:sz w:val="20"/>
                <w:szCs w:val="20"/>
              </w:rPr>
            </w:pPr>
            <w:r w:rsidRPr="008640AF">
              <w:rPr>
                <w:rFonts w:ascii="Times New Roman" w:eastAsia="Times New Roman" w:hAnsi="Times New Roman" w:cs="Times New Roman"/>
                <w:i/>
                <w:color w:val="000000"/>
                <w:sz w:val="20"/>
                <w:szCs w:val="20"/>
              </w:rPr>
              <w:t>Note</w:t>
            </w:r>
            <w:r w:rsidRPr="00BD761B">
              <w:rPr>
                <w:rFonts w:ascii="Times New Roman" w:eastAsia="Times New Roman" w:hAnsi="Times New Roman" w:cs="Times New Roman"/>
                <w:smallCaps/>
                <w:color w:val="000000"/>
                <w:sz w:val="20"/>
                <w:szCs w:val="20"/>
              </w:rPr>
              <w:t>:</w:t>
            </w:r>
            <w:r>
              <w:rPr>
                <w:rFonts w:ascii="Times New Roman" w:eastAsia="Times New Roman" w:hAnsi="Times New Roman" w:cs="Times New Roman"/>
                <w:smallCaps/>
                <w:color w:val="000000"/>
                <w:sz w:val="20"/>
                <w:szCs w:val="20"/>
              </w:rPr>
              <w:t xml:space="preserve"> </w:t>
            </w:r>
            <w:r>
              <w:rPr>
                <w:rFonts w:ascii="Times New Roman" w:eastAsia="Times New Roman" w:hAnsi="Times New Roman" w:cs="Times New Roman"/>
                <w:color w:val="000000"/>
                <w:sz w:val="20"/>
                <w:szCs w:val="20"/>
              </w:rPr>
              <w:t>“FPL” is the federal poverty threshold as calculated by the Census Bureau for different family structures. Simulated c</w:t>
            </w:r>
            <w:r w:rsidRPr="000E5B76">
              <w:rPr>
                <w:rFonts w:ascii="Times New Roman" w:eastAsia="Times New Roman" w:hAnsi="Times New Roman" w:cs="Times New Roman"/>
                <w:color w:val="000000"/>
                <w:sz w:val="20"/>
                <w:szCs w:val="20"/>
              </w:rPr>
              <w:t xml:space="preserve">hanges in poverty rates reflect changes to each household member's income through </w:t>
            </w:r>
            <w:r>
              <w:rPr>
                <w:rFonts w:ascii="Times New Roman" w:eastAsia="Times New Roman" w:hAnsi="Times New Roman" w:cs="Times New Roman"/>
                <w:color w:val="000000"/>
                <w:sz w:val="20"/>
                <w:szCs w:val="20"/>
              </w:rPr>
              <w:t>direct wage</w:t>
            </w:r>
            <w:r w:rsidRPr="000E5B76">
              <w:rPr>
                <w:rFonts w:ascii="Times New Roman" w:eastAsia="Times New Roman" w:hAnsi="Times New Roman" w:cs="Times New Roman"/>
                <w:color w:val="000000"/>
                <w:sz w:val="20"/>
                <w:szCs w:val="20"/>
              </w:rPr>
              <w:t xml:space="preserve"> or general equilibrium </w:t>
            </w:r>
            <w:r>
              <w:rPr>
                <w:rFonts w:ascii="Times New Roman" w:eastAsia="Times New Roman" w:hAnsi="Times New Roman" w:cs="Times New Roman"/>
                <w:color w:val="000000"/>
                <w:sz w:val="20"/>
                <w:szCs w:val="20"/>
              </w:rPr>
              <w:t xml:space="preserve">relative wage </w:t>
            </w:r>
            <w:r w:rsidRPr="000E5B76">
              <w:rPr>
                <w:rFonts w:ascii="Times New Roman" w:eastAsia="Times New Roman" w:hAnsi="Times New Roman" w:cs="Times New Roman"/>
                <w:color w:val="000000"/>
                <w:sz w:val="20"/>
                <w:szCs w:val="20"/>
              </w:rPr>
              <w:t xml:space="preserve">effects. </w:t>
            </w:r>
            <w:r>
              <w:rPr>
                <w:rFonts w:ascii="Times New Roman" w:eastAsia="Times New Roman" w:hAnsi="Times New Roman" w:cs="Times New Roman"/>
                <w:color w:val="000000"/>
                <w:sz w:val="20"/>
                <w:szCs w:val="20"/>
              </w:rPr>
              <w:t>Any resulting c</w:t>
            </w:r>
            <w:r w:rsidRPr="000E5B76">
              <w:rPr>
                <w:rFonts w:ascii="Times New Roman" w:eastAsia="Times New Roman" w:hAnsi="Times New Roman" w:cs="Times New Roman"/>
                <w:color w:val="000000"/>
                <w:sz w:val="20"/>
                <w:szCs w:val="20"/>
              </w:rPr>
              <w:t xml:space="preserve">hanges to transfer payments </w:t>
            </w:r>
            <w:proofErr w:type="gramStart"/>
            <w:r w:rsidRPr="000E5B76">
              <w:rPr>
                <w:rFonts w:ascii="Times New Roman" w:eastAsia="Times New Roman" w:hAnsi="Times New Roman" w:cs="Times New Roman"/>
                <w:color w:val="000000"/>
                <w:sz w:val="20"/>
                <w:szCs w:val="20"/>
              </w:rPr>
              <w:t>are not reflected</w:t>
            </w:r>
            <w:proofErr w:type="gramEnd"/>
            <w:r w:rsidRPr="000E5B76">
              <w:rPr>
                <w:rFonts w:ascii="Times New Roman" w:eastAsia="Times New Roman" w:hAnsi="Times New Roman" w:cs="Times New Roman"/>
                <w:color w:val="000000"/>
                <w:sz w:val="20"/>
                <w:szCs w:val="20"/>
              </w:rPr>
              <w:t xml:space="preserve"> in this analysis.</w:t>
            </w:r>
          </w:p>
          <w:p w14:paraId="4827B248" w14:textId="77777777" w:rsidR="000F7C00" w:rsidRPr="000E5B76" w:rsidRDefault="000F7C00" w:rsidP="00211FA3">
            <w:pPr>
              <w:spacing w:before="120" w:after="0" w:line="240" w:lineRule="auto"/>
              <w:rPr>
                <w:rFonts w:ascii="Times New Roman" w:eastAsia="Times New Roman" w:hAnsi="Times New Roman" w:cs="Times New Roman"/>
                <w:color w:val="000000"/>
                <w:sz w:val="20"/>
                <w:szCs w:val="20"/>
              </w:rPr>
            </w:pPr>
            <w:r w:rsidRPr="00876B37">
              <w:rPr>
                <w:rFonts w:ascii="Times New Roman" w:eastAsia="Times New Roman" w:hAnsi="Times New Roman" w:cs="Times New Roman"/>
                <w:i/>
                <w:color w:val="000000"/>
                <w:sz w:val="20"/>
                <w:szCs w:val="20"/>
              </w:rPr>
              <w:t>Source</w:t>
            </w:r>
            <w:r w:rsidRPr="00BD761B">
              <w:rPr>
                <w:rFonts w:ascii="Times New Roman" w:eastAsia="Times New Roman" w:hAnsi="Times New Roman" w:cs="Times New Roman"/>
                <w:color w:val="000000"/>
                <w:sz w:val="20"/>
                <w:szCs w:val="20"/>
              </w:rPr>
              <w:t>: Authors’ calculations of</w:t>
            </w:r>
            <w:r>
              <w:rPr>
                <w:rFonts w:ascii="Times New Roman" w:eastAsia="Times New Roman" w:hAnsi="Times New Roman" w:cs="Times New Roman"/>
                <w:color w:val="000000"/>
                <w:sz w:val="20"/>
                <w:szCs w:val="20"/>
              </w:rPr>
              <w:t xml:space="preserve"> March Current Population Survey 1980 and 2019 (Flood et al., 2019).</w:t>
            </w:r>
          </w:p>
        </w:tc>
      </w:tr>
    </w:tbl>
    <w:p w14:paraId="3670B9C1" w14:textId="77777777" w:rsidR="000F7C00" w:rsidRDefault="000F7C00" w:rsidP="000F7C00">
      <w:pPr>
        <w:rPr>
          <w:rFonts w:ascii="Times New Roman" w:hAnsi="Times New Roman" w:cs="Times New Roman"/>
        </w:rPr>
      </w:pPr>
      <w:r>
        <w:rPr>
          <w:rFonts w:ascii="Times New Roman" w:hAnsi="Times New Roman" w:cs="Times New Roman"/>
        </w:rPr>
        <w:br w:type="page"/>
      </w:r>
    </w:p>
    <w:p w14:paraId="1D92DFC1" w14:textId="77777777" w:rsidR="000F7C00" w:rsidRDefault="000F7C00" w:rsidP="000F7C00">
      <w:pPr>
        <w:rPr>
          <w:rFonts w:ascii="Times New Roman" w:hAnsi="Times New Roman" w:cs="Times New Roman"/>
        </w:rPr>
        <w:sectPr w:rsidR="000F7C00" w:rsidSect="00BF5375">
          <w:headerReference w:type="default" r:id="rId13"/>
          <w:footerReference w:type="default" r:id="rId14"/>
          <w:pgSz w:w="15840" w:h="12240" w:orient="landscape"/>
          <w:pgMar w:top="1080" w:right="1080" w:bottom="1080" w:left="1080" w:header="720" w:footer="720" w:gutter="0"/>
          <w:cols w:space="720"/>
          <w:docGrid w:linePitch="360"/>
        </w:sectPr>
      </w:pPr>
    </w:p>
    <w:p w14:paraId="269EC342" w14:textId="77777777" w:rsidR="000F7C00" w:rsidRPr="0058319F" w:rsidRDefault="000F7C00" w:rsidP="000F7C00">
      <w:pPr>
        <w:rPr>
          <w:rFonts w:ascii="Times New Roman" w:hAnsi="Times New Roman" w:cs="Times New Roman"/>
          <w:b/>
          <w:bCs/>
        </w:rPr>
      </w:pPr>
      <w:r>
        <w:rPr>
          <w:rFonts w:ascii="Times New Roman" w:hAnsi="Times New Roman" w:cs="Times New Roman"/>
        </w:rPr>
        <w:lastRenderedPageBreak/>
        <w:tab/>
      </w:r>
      <w:r>
        <w:rPr>
          <w:rFonts w:ascii="Times New Roman" w:hAnsi="Times New Roman" w:cs="Times New Roman"/>
          <w:b/>
          <w:bCs/>
        </w:rPr>
        <w:t xml:space="preserve">Figure 1: Trends in Wage </w:t>
      </w:r>
      <w:proofErr w:type="spellStart"/>
      <w:r>
        <w:rPr>
          <w:rFonts w:ascii="Times New Roman" w:hAnsi="Times New Roman" w:cs="Times New Roman"/>
          <w:b/>
          <w:bCs/>
        </w:rPr>
        <w:t>Premia</w:t>
      </w:r>
      <w:proofErr w:type="spellEnd"/>
      <w:r>
        <w:rPr>
          <w:rFonts w:ascii="Times New Roman" w:hAnsi="Times New Roman" w:cs="Times New Roman"/>
          <w:b/>
          <w:bCs/>
        </w:rPr>
        <w:t xml:space="preserve"> for Bachelor’s-Plus/</w:t>
      </w:r>
      <w:proofErr w:type="spellStart"/>
      <w:r>
        <w:rPr>
          <w:rFonts w:ascii="Times New Roman" w:hAnsi="Times New Roman" w:cs="Times New Roman"/>
          <w:b/>
          <w:bCs/>
        </w:rPr>
        <w:t>Noncollege</w:t>
      </w:r>
      <w:proofErr w:type="spellEnd"/>
      <w:r>
        <w:rPr>
          <w:rFonts w:ascii="Times New Roman" w:hAnsi="Times New Roman" w:cs="Times New Roman"/>
          <w:b/>
          <w:bCs/>
        </w:rPr>
        <w:t xml:space="preserve"> and Associate Degree/</w:t>
      </w:r>
      <w:proofErr w:type="spellStart"/>
      <w:r>
        <w:rPr>
          <w:rFonts w:ascii="Times New Roman" w:hAnsi="Times New Roman" w:cs="Times New Roman"/>
          <w:b/>
          <w:bCs/>
        </w:rPr>
        <w:t>Noncollege</w:t>
      </w:r>
      <w:proofErr w:type="spellEnd"/>
    </w:p>
    <w:p w14:paraId="33B59424" w14:textId="1BB019A7" w:rsidR="000F7C00" w:rsidRDefault="00D03DF3" w:rsidP="000F7C00">
      <w:pPr>
        <w:jc w:val="center"/>
        <w:rPr>
          <w:rFonts w:ascii="Times New Roman" w:hAnsi="Times New Roman" w:cs="Times New Roman"/>
          <w:b/>
          <w:bCs/>
          <w:sz w:val="24"/>
          <w:szCs w:val="24"/>
        </w:rPr>
        <w:sectPr w:rsidR="000F7C00" w:rsidSect="00BF5375">
          <w:pgSz w:w="12240" w:h="15840"/>
          <w:pgMar w:top="1080" w:right="990" w:bottom="810" w:left="540" w:header="720" w:footer="720" w:gutter="0"/>
          <w:cols w:space="720"/>
          <w:docGrid w:linePitch="360"/>
        </w:sectPr>
      </w:pPr>
      <w:r>
        <w:rPr>
          <w:noProof/>
        </w:rPr>
        <w:drawing>
          <wp:inline distT="0" distB="0" distL="0" distR="0" wp14:anchorId="49DFA6D8" wp14:editId="2C56DEBB">
            <wp:extent cx="5669776" cy="4125433"/>
            <wp:effectExtent l="0" t="0" r="762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75208" cy="4129385"/>
                    </a:xfrm>
                    <a:prstGeom prst="rect">
                      <a:avLst/>
                    </a:prstGeom>
                    <a:noFill/>
                    <a:ln>
                      <a:noFill/>
                    </a:ln>
                  </pic:spPr>
                </pic:pic>
              </a:graphicData>
            </a:graphic>
          </wp:inline>
        </w:drawing>
      </w:r>
    </w:p>
    <w:p w14:paraId="580108C3" w14:textId="77777777" w:rsidR="000F7C00" w:rsidRDefault="000F7C00" w:rsidP="000F7C00">
      <w:pPr>
        <w:rPr>
          <w:rFonts w:ascii="Times New Roman" w:hAnsi="Times New Roman" w:cs="Times New Roman"/>
          <w:b/>
          <w:bCs/>
          <w:sz w:val="24"/>
          <w:szCs w:val="24"/>
        </w:rPr>
      </w:pPr>
      <w:r>
        <w:rPr>
          <w:rFonts w:ascii="Times New Roman" w:hAnsi="Times New Roman" w:cs="Times New Roman"/>
          <w:b/>
          <w:bCs/>
          <w:sz w:val="24"/>
          <w:szCs w:val="24"/>
        </w:rPr>
        <w:lastRenderedPageBreak/>
        <w:t>A</w:t>
      </w:r>
      <w:r w:rsidRPr="00920A41">
        <w:rPr>
          <w:rFonts w:ascii="Times New Roman" w:hAnsi="Times New Roman" w:cs="Times New Roman"/>
          <w:b/>
          <w:bCs/>
          <w:sz w:val="24"/>
          <w:szCs w:val="24"/>
        </w:rPr>
        <w:t>ppendix</w:t>
      </w:r>
      <w:r>
        <w:rPr>
          <w:rFonts w:ascii="Times New Roman" w:hAnsi="Times New Roman" w:cs="Times New Roman"/>
          <w:b/>
          <w:bCs/>
          <w:sz w:val="24"/>
          <w:szCs w:val="24"/>
        </w:rPr>
        <w:t xml:space="preserve"> A: Tables  </w:t>
      </w:r>
    </w:p>
    <w:p w14:paraId="3AB9F8F5" w14:textId="77777777" w:rsidR="000F7C00" w:rsidRDefault="000F7C00" w:rsidP="000F7C00">
      <w:pPr>
        <w:rPr>
          <w:rFonts w:ascii="Times New Roman" w:hAnsi="Times New Roman" w:cs="Times New Roman"/>
          <w:b/>
          <w:bCs/>
          <w:sz w:val="24"/>
          <w:szCs w:val="24"/>
        </w:rPr>
      </w:pPr>
    </w:p>
    <w:tbl>
      <w:tblPr>
        <w:tblW w:w="12960" w:type="dxa"/>
        <w:tblLayout w:type="fixed"/>
        <w:tblLook w:val="04A0" w:firstRow="1" w:lastRow="0" w:firstColumn="1" w:lastColumn="0" w:noHBand="0" w:noVBand="1"/>
      </w:tblPr>
      <w:tblGrid>
        <w:gridCol w:w="1746"/>
        <w:gridCol w:w="414"/>
        <w:gridCol w:w="1116"/>
        <w:gridCol w:w="426"/>
        <w:gridCol w:w="1030"/>
        <w:gridCol w:w="513"/>
        <w:gridCol w:w="1241"/>
        <w:gridCol w:w="302"/>
        <w:gridCol w:w="1378"/>
        <w:gridCol w:w="165"/>
        <w:gridCol w:w="1543"/>
        <w:gridCol w:w="46"/>
        <w:gridCol w:w="1456"/>
        <w:gridCol w:w="41"/>
        <w:gridCol w:w="1543"/>
      </w:tblGrid>
      <w:tr w:rsidR="000F7C00" w:rsidRPr="004C16CA" w14:paraId="456B5201" w14:textId="77777777" w:rsidTr="00211FA3">
        <w:trPr>
          <w:trHeight w:val="290"/>
        </w:trPr>
        <w:tc>
          <w:tcPr>
            <w:tcW w:w="12960" w:type="dxa"/>
            <w:gridSpan w:val="15"/>
            <w:tcBorders>
              <w:top w:val="nil"/>
              <w:left w:val="nil"/>
              <w:bottom w:val="single" w:sz="4" w:space="0" w:color="auto"/>
              <w:right w:val="nil"/>
            </w:tcBorders>
            <w:shd w:val="clear" w:color="auto" w:fill="auto"/>
            <w:noWrap/>
            <w:vAlign w:val="bottom"/>
            <w:hideMark/>
          </w:tcPr>
          <w:p w14:paraId="0B9099DC" w14:textId="77777777" w:rsidR="000F7C00" w:rsidRPr="004C16CA" w:rsidRDefault="000F7C00" w:rsidP="00211FA3">
            <w:pPr>
              <w:spacing w:after="0" w:line="240" w:lineRule="auto"/>
              <w:rPr>
                <w:rFonts w:ascii="Times New Roman" w:eastAsia="Times New Roman" w:hAnsi="Times New Roman" w:cs="Times New Roman"/>
                <w:b/>
                <w:bCs/>
                <w:color w:val="000000"/>
              </w:rPr>
            </w:pPr>
            <w:r w:rsidRPr="004C16CA">
              <w:rPr>
                <w:rFonts w:ascii="Times New Roman" w:eastAsia="Times New Roman" w:hAnsi="Times New Roman" w:cs="Times New Roman"/>
                <w:b/>
                <w:bCs/>
                <w:color w:val="000000"/>
              </w:rPr>
              <w:t>Table A.1: Summary Statistics by Education: Earnings Distribution and Inequality Measures: FTFY Workers</w:t>
            </w:r>
          </w:p>
        </w:tc>
      </w:tr>
      <w:tr w:rsidR="000F7C00" w:rsidRPr="004C16CA" w14:paraId="73600A33" w14:textId="77777777" w:rsidTr="00211FA3">
        <w:trPr>
          <w:trHeight w:val="570"/>
        </w:trPr>
        <w:tc>
          <w:tcPr>
            <w:tcW w:w="2160" w:type="dxa"/>
            <w:gridSpan w:val="2"/>
            <w:tcBorders>
              <w:top w:val="nil"/>
              <w:left w:val="nil"/>
              <w:bottom w:val="single" w:sz="4" w:space="0" w:color="auto"/>
              <w:right w:val="nil"/>
            </w:tcBorders>
            <w:shd w:val="clear" w:color="auto" w:fill="auto"/>
            <w:noWrap/>
            <w:vAlign w:val="bottom"/>
            <w:hideMark/>
          </w:tcPr>
          <w:p w14:paraId="4135DC56" w14:textId="77777777" w:rsidR="000F7C00" w:rsidRPr="004C16CA" w:rsidRDefault="000F7C00" w:rsidP="00211FA3">
            <w:pPr>
              <w:spacing w:after="0" w:line="240" w:lineRule="auto"/>
              <w:rPr>
                <w:rFonts w:ascii="Times New Roman" w:eastAsia="Times New Roman" w:hAnsi="Times New Roman" w:cs="Times New Roman"/>
                <w:color w:val="000000"/>
              </w:rPr>
            </w:pPr>
            <w:r w:rsidRPr="004C16CA">
              <w:rPr>
                <w:rFonts w:ascii="Times New Roman" w:eastAsia="Times New Roman" w:hAnsi="Times New Roman" w:cs="Times New Roman"/>
                <w:color w:val="000000"/>
              </w:rPr>
              <w:t>Year</w:t>
            </w:r>
          </w:p>
        </w:tc>
        <w:tc>
          <w:tcPr>
            <w:tcW w:w="1542" w:type="dxa"/>
            <w:gridSpan w:val="2"/>
            <w:tcBorders>
              <w:top w:val="nil"/>
              <w:left w:val="nil"/>
              <w:bottom w:val="single" w:sz="4" w:space="0" w:color="auto"/>
              <w:right w:val="nil"/>
            </w:tcBorders>
            <w:shd w:val="clear" w:color="auto" w:fill="auto"/>
            <w:noWrap/>
            <w:vAlign w:val="bottom"/>
            <w:hideMark/>
          </w:tcPr>
          <w:p w14:paraId="4A529F44"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p10</w:t>
            </w:r>
          </w:p>
        </w:tc>
        <w:tc>
          <w:tcPr>
            <w:tcW w:w="1543" w:type="dxa"/>
            <w:gridSpan w:val="2"/>
            <w:tcBorders>
              <w:top w:val="nil"/>
              <w:left w:val="nil"/>
              <w:bottom w:val="single" w:sz="4" w:space="0" w:color="auto"/>
              <w:right w:val="nil"/>
            </w:tcBorders>
            <w:shd w:val="clear" w:color="auto" w:fill="auto"/>
            <w:noWrap/>
            <w:vAlign w:val="bottom"/>
            <w:hideMark/>
          </w:tcPr>
          <w:p w14:paraId="5EB4CD3E"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p25</w:t>
            </w:r>
          </w:p>
        </w:tc>
        <w:tc>
          <w:tcPr>
            <w:tcW w:w="1543" w:type="dxa"/>
            <w:gridSpan w:val="2"/>
            <w:tcBorders>
              <w:top w:val="nil"/>
              <w:left w:val="nil"/>
              <w:bottom w:val="single" w:sz="4" w:space="0" w:color="auto"/>
              <w:right w:val="nil"/>
            </w:tcBorders>
            <w:shd w:val="clear" w:color="auto" w:fill="auto"/>
            <w:noWrap/>
            <w:vAlign w:val="bottom"/>
            <w:hideMark/>
          </w:tcPr>
          <w:p w14:paraId="59329FAF"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p50</w:t>
            </w:r>
          </w:p>
        </w:tc>
        <w:tc>
          <w:tcPr>
            <w:tcW w:w="1543" w:type="dxa"/>
            <w:gridSpan w:val="2"/>
            <w:tcBorders>
              <w:top w:val="nil"/>
              <w:left w:val="nil"/>
              <w:bottom w:val="single" w:sz="4" w:space="0" w:color="auto"/>
              <w:right w:val="nil"/>
            </w:tcBorders>
            <w:shd w:val="clear" w:color="auto" w:fill="auto"/>
            <w:noWrap/>
            <w:vAlign w:val="bottom"/>
            <w:hideMark/>
          </w:tcPr>
          <w:p w14:paraId="0624E674"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p75</w:t>
            </w:r>
          </w:p>
        </w:tc>
        <w:tc>
          <w:tcPr>
            <w:tcW w:w="1543" w:type="dxa"/>
            <w:tcBorders>
              <w:top w:val="nil"/>
              <w:left w:val="nil"/>
              <w:bottom w:val="single" w:sz="4" w:space="0" w:color="auto"/>
              <w:right w:val="nil"/>
            </w:tcBorders>
            <w:shd w:val="clear" w:color="auto" w:fill="auto"/>
            <w:noWrap/>
            <w:vAlign w:val="bottom"/>
            <w:hideMark/>
          </w:tcPr>
          <w:p w14:paraId="50A99681"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p90</w:t>
            </w:r>
          </w:p>
        </w:tc>
        <w:tc>
          <w:tcPr>
            <w:tcW w:w="1543" w:type="dxa"/>
            <w:gridSpan w:val="3"/>
            <w:tcBorders>
              <w:top w:val="nil"/>
              <w:left w:val="nil"/>
              <w:bottom w:val="single" w:sz="4" w:space="0" w:color="auto"/>
              <w:right w:val="nil"/>
            </w:tcBorders>
            <w:shd w:val="clear" w:color="auto" w:fill="auto"/>
            <w:noWrap/>
            <w:vAlign w:val="bottom"/>
            <w:hideMark/>
          </w:tcPr>
          <w:p w14:paraId="14FFACB5"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p99</w:t>
            </w:r>
          </w:p>
        </w:tc>
        <w:tc>
          <w:tcPr>
            <w:tcW w:w="1543" w:type="dxa"/>
            <w:tcBorders>
              <w:top w:val="nil"/>
              <w:left w:val="nil"/>
              <w:bottom w:val="single" w:sz="4" w:space="0" w:color="auto"/>
              <w:right w:val="nil"/>
            </w:tcBorders>
            <w:shd w:val="clear" w:color="auto" w:fill="auto"/>
            <w:vAlign w:val="bottom"/>
            <w:hideMark/>
          </w:tcPr>
          <w:p w14:paraId="2F914710"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Gini Coefficient</w:t>
            </w:r>
          </w:p>
        </w:tc>
      </w:tr>
      <w:tr w:rsidR="000F7C00" w:rsidRPr="004C16CA" w14:paraId="65696B2D" w14:textId="77777777" w:rsidTr="00211FA3">
        <w:trPr>
          <w:trHeight w:val="130"/>
        </w:trPr>
        <w:tc>
          <w:tcPr>
            <w:tcW w:w="2160" w:type="dxa"/>
            <w:gridSpan w:val="2"/>
            <w:tcBorders>
              <w:top w:val="nil"/>
              <w:left w:val="nil"/>
              <w:bottom w:val="nil"/>
              <w:right w:val="nil"/>
            </w:tcBorders>
            <w:shd w:val="clear" w:color="auto" w:fill="auto"/>
            <w:noWrap/>
            <w:vAlign w:val="bottom"/>
            <w:hideMark/>
          </w:tcPr>
          <w:p w14:paraId="46743B1E" w14:textId="77777777" w:rsidR="000F7C00" w:rsidRPr="004C16CA" w:rsidRDefault="000F7C00" w:rsidP="00211FA3">
            <w:pPr>
              <w:spacing w:after="0" w:line="240" w:lineRule="auto"/>
              <w:jc w:val="center"/>
              <w:rPr>
                <w:rFonts w:ascii="Times New Roman" w:eastAsia="Times New Roman" w:hAnsi="Times New Roman" w:cs="Times New Roman"/>
                <w:color w:val="000000"/>
              </w:rPr>
            </w:pPr>
          </w:p>
        </w:tc>
        <w:tc>
          <w:tcPr>
            <w:tcW w:w="1542" w:type="dxa"/>
            <w:gridSpan w:val="2"/>
            <w:tcBorders>
              <w:top w:val="nil"/>
              <w:left w:val="nil"/>
              <w:bottom w:val="nil"/>
              <w:right w:val="nil"/>
            </w:tcBorders>
            <w:shd w:val="clear" w:color="auto" w:fill="auto"/>
            <w:noWrap/>
            <w:vAlign w:val="bottom"/>
            <w:hideMark/>
          </w:tcPr>
          <w:p w14:paraId="740CB9A6" w14:textId="77777777" w:rsidR="000F7C00" w:rsidRPr="004C16CA" w:rsidRDefault="000F7C00" w:rsidP="00211FA3">
            <w:pPr>
              <w:spacing w:after="0" w:line="240" w:lineRule="auto"/>
              <w:rPr>
                <w:rFonts w:ascii="Times New Roman" w:eastAsia="Times New Roman" w:hAnsi="Times New Roman" w:cs="Times New Roman"/>
                <w:sz w:val="20"/>
                <w:szCs w:val="20"/>
              </w:rPr>
            </w:pPr>
          </w:p>
        </w:tc>
        <w:tc>
          <w:tcPr>
            <w:tcW w:w="1543" w:type="dxa"/>
            <w:gridSpan w:val="2"/>
            <w:tcBorders>
              <w:top w:val="nil"/>
              <w:left w:val="nil"/>
              <w:bottom w:val="nil"/>
              <w:right w:val="nil"/>
            </w:tcBorders>
            <w:shd w:val="clear" w:color="auto" w:fill="auto"/>
            <w:noWrap/>
            <w:vAlign w:val="bottom"/>
            <w:hideMark/>
          </w:tcPr>
          <w:p w14:paraId="273B07A6" w14:textId="77777777" w:rsidR="000F7C00" w:rsidRPr="004C16CA" w:rsidRDefault="000F7C00" w:rsidP="00211FA3">
            <w:pPr>
              <w:spacing w:after="0" w:line="240" w:lineRule="auto"/>
              <w:jc w:val="center"/>
              <w:rPr>
                <w:rFonts w:ascii="Times New Roman" w:eastAsia="Times New Roman" w:hAnsi="Times New Roman" w:cs="Times New Roman"/>
                <w:sz w:val="20"/>
                <w:szCs w:val="20"/>
              </w:rPr>
            </w:pPr>
          </w:p>
        </w:tc>
        <w:tc>
          <w:tcPr>
            <w:tcW w:w="1543" w:type="dxa"/>
            <w:gridSpan w:val="2"/>
            <w:tcBorders>
              <w:top w:val="nil"/>
              <w:left w:val="nil"/>
              <w:bottom w:val="nil"/>
              <w:right w:val="nil"/>
            </w:tcBorders>
            <w:shd w:val="clear" w:color="auto" w:fill="auto"/>
            <w:noWrap/>
            <w:vAlign w:val="bottom"/>
            <w:hideMark/>
          </w:tcPr>
          <w:p w14:paraId="1EA125FA" w14:textId="77777777" w:rsidR="000F7C00" w:rsidRPr="004C16CA" w:rsidRDefault="000F7C00" w:rsidP="00211FA3">
            <w:pPr>
              <w:spacing w:after="0" w:line="240" w:lineRule="auto"/>
              <w:jc w:val="center"/>
              <w:rPr>
                <w:rFonts w:ascii="Times New Roman" w:eastAsia="Times New Roman" w:hAnsi="Times New Roman" w:cs="Times New Roman"/>
                <w:sz w:val="20"/>
                <w:szCs w:val="20"/>
              </w:rPr>
            </w:pPr>
          </w:p>
        </w:tc>
        <w:tc>
          <w:tcPr>
            <w:tcW w:w="1543" w:type="dxa"/>
            <w:gridSpan w:val="2"/>
            <w:tcBorders>
              <w:top w:val="nil"/>
              <w:left w:val="nil"/>
              <w:bottom w:val="nil"/>
              <w:right w:val="nil"/>
            </w:tcBorders>
            <w:shd w:val="clear" w:color="auto" w:fill="auto"/>
            <w:noWrap/>
            <w:vAlign w:val="bottom"/>
            <w:hideMark/>
          </w:tcPr>
          <w:p w14:paraId="273AA3EA" w14:textId="77777777" w:rsidR="000F7C00" w:rsidRPr="004C16CA" w:rsidRDefault="000F7C00" w:rsidP="00211FA3">
            <w:pPr>
              <w:spacing w:after="0" w:line="240" w:lineRule="auto"/>
              <w:jc w:val="center"/>
              <w:rPr>
                <w:rFonts w:ascii="Times New Roman" w:eastAsia="Times New Roman" w:hAnsi="Times New Roman" w:cs="Times New Roman"/>
                <w:sz w:val="20"/>
                <w:szCs w:val="20"/>
              </w:rPr>
            </w:pPr>
          </w:p>
        </w:tc>
        <w:tc>
          <w:tcPr>
            <w:tcW w:w="1543" w:type="dxa"/>
            <w:tcBorders>
              <w:top w:val="nil"/>
              <w:left w:val="nil"/>
              <w:bottom w:val="nil"/>
              <w:right w:val="nil"/>
            </w:tcBorders>
            <w:shd w:val="clear" w:color="auto" w:fill="auto"/>
            <w:noWrap/>
            <w:vAlign w:val="bottom"/>
            <w:hideMark/>
          </w:tcPr>
          <w:p w14:paraId="0FAF1569" w14:textId="77777777" w:rsidR="000F7C00" w:rsidRPr="004C16CA" w:rsidRDefault="000F7C00" w:rsidP="00211FA3">
            <w:pPr>
              <w:spacing w:after="0" w:line="240" w:lineRule="auto"/>
              <w:jc w:val="center"/>
              <w:rPr>
                <w:rFonts w:ascii="Times New Roman" w:eastAsia="Times New Roman" w:hAnsi="Times New Roman" w:cs="Times New Roman"/>
                <w:sz w:val="20"/>
                <w:szCs w:val="20"/>
              </w:rPr>
            </w:pPr>
          </w:p>
        </w:tc>
        <w:tc>
          <w:tcPr>
            <w:tcW w:w="1543" w:type="dxa"/>
            <w:gridSpan w:val="3"/>
            <w:tcBorders>
              <w:top w:val="nil"/>
              <w:left w:val="nil"/>
              <w:bottom w:val="nil"/>
              <w:right w:val="nil"/>
            </w:tcBorders>
            <w:shd w:val="clear" w:color="auto" w:fill="auto"/>
            <w:noWrap/>
            <w:vAlign w:val="bottom"/>
            <w:hideMark/>
          </w:tcPr>
          <w:p w14:paraId="4AD528F9" w14:textId="77777777" w:rsidR="000F7C00" w:rsidRPr="004C16CA" w:rsidRDefault="000F7C00" w:rsidP="00211FA3">
            <w:pPr>
              <w:spacing w:after="0" w:line="240" w:lineRule="auto"/>
              <w:jc w:val="center"/>
              <w:rPr>
                <w:rFonts w:ascii="Times New Roman" w:eastAsia="Times New Roman" w:hAnsi="Times New Roman" w:cs="Times New Roman"/>
                <w:sz w:val="20"/>
                <w:szCs w:val="20"/>
              </w:rPr>
            </w:pPr>
          </w:p>
        </w:tc>
        <w:tc>
          <w:tcPr>
            <w:tcW w:w="1543" w:type="dxa"/>
            <w:tcBorders>
              <w:top w:val="nil"/>
              <w:left w:val="nil"/>
              <w:bottom w:val="nil"/>
              <w:right w:val="nil"/>
            </w:tcBorders>
            <w:shd w:val="clear" w:color="auto" w:fill="auto"/>
            <w:vAlign w:val="bottom"/>
            <w:hideMark/>
          </w:tcPr>
          <w:p w14:paraId="6E91AB66" w14:textId="77777777" w:rsidR="000F7C00" w:rsidRPr="004C16CA" w:rsidRDefault="000F7C00" w:rsidP="00211FA3">
            <w:pPr>
              <w:spacing w:after="0" w:line="240" w:lineRule="auto"/>
              <w:jc w:val="center"/>
              <w:rPr>
                <w:rFonts w:ascii="Times New Roman" w:eastAsia="Times New Roman" w:hAnsi="Times New Roman" w:cs="Times New Roman"/>
                <w:sz w:val="20"/>
                <w:szCs w:val="20"/>
              </w:rPr>
            </w:pPr>
          </w:p>
        </w:tc>
      </w:tr>
      <w:tr w:rsidR="000F7C00" w:rsidRPr="004C16CA" w14:paraId="4E095F0A" w14:textId="77777777" w:rsidTr="00211FA3">
        <w:trPr>
          <w:trHeight w:val="290"/>
        </w:trPr>
        <w:tc>
          <w:tcPr>
            <w:tcW w:w="2160" w:type="dxa"/>
            <w:gridSpan w:val="2"/>
            <w:tcBorders>
              <w:top w:val="nil"/>
              <w:left w:val="nil"/>
              <w:bottom w:val="nil"/>
              <w:right w:val="nil"/>
            </w:tcBorders>
            <w:shd w:val="clear" w:color="auto" w:fill="auto"/>
            <w:noWrap/>
            <w:vAlign w:val="bottom"/>
            <w:hideMark/>
          </w:tcPr>
          <w:p w14:paraId="184198C2" w14:textId="77777777" w:rsidR="000F7C00" w:rsidRPr="00CE60CE" w:rsidRDefault="000F7C00" w:rsidP="00211FA3">
            <w:pPr>
              <w:spacing w:after="0" w:line="240" w:lineRule="auto"/>
              <w:rPr>
                <w:rFonts w:ascii="Times New Roman" w:eastAsia="Times New Roman" w:hAnsi="Times New Roman" w:cs="Times New Roman"/>
                <w:b/>
                <w:color w:val="000000"/>
              </w:rPr>
            </w:pPr>
            <w:r w:rsidRPr="00CE60CE">
              <w:rPr>
                <w:rFonts w:ascii="Times New Roman" w:eastAsia="Times New Roman" w:hAnsi="Times New Roman" w:cs="Times New Roman"/>
                <w:b/>
                <w:color w:val="000000"/>
              </w:rPr>
              <w:t>1979</w:t>
            </w:r>
          </w:p>
        </w:tc>
        <w:tc>
          <w:tcPr>
            <w:tcW w:w="1542" w:type="dxa"/>
            <w:gridSpan w:val="2"/>
            <w:tcBorders>
              <w:top w:val="nil"/>
              <w:left w:val="nil"/>
              <w:bottom w:val="nil"/>
              <w:right w:val="nil"/>
            </w:tcBorders>
            <w:shd w:val="clear" w:color="auto" w:fill="auto"/>
            <w:noWrap/>
            <w:vAlign w:val="bottom"/>
            <w:hideMark/>
          </w:tcPr>
          <w:p w14:paraId="278E042C" w14:textId="77777777" w:rsidR="000F7C00" w:rsidRPr="004C16CA" w:rsidRDefault="000F7C00" w:rsidP="00211FA3">
            <w:pPr>
              <w:spacing w:after="0" w:line="240" w:lineRule="auto"/>
              <w:rPr>
                <w:rFonts w:ascii="Times New Roman" w:eastAsia="Times New Roman" w:hAnsi="Times New Roman" w:cs="Times New Roman"/>
                <w:color w:val="000000"/>
              </w:rPr>
            </w:pPr>
          </w:p>
        </w:tc>
        <w:tc>
          <w:tcPr>
            <w:tcW w:w="1543" w:type="dxa"/>
            <w:gridSpan w:val="2"/>
            <w:tcBorders>
              <w:top w:val="nil"/>
              <w:left w:val="nil"/>
              <w:bottom w:val="nil"/>
              <w:right w:val="nil"/>
            </w:tcBorders>
            <w:shd w:val="clear" w:color="auto" w:fill="auto"/>
            <w:noWrap/>
            <w:vAlign w:val="bottom"/>
            <w:hideMark/>
          </w:tcPr>
          <w:p w14:paraId="0E42E095" w14:textId="77777777" w:rsidR="000F7C00" w:rsidRPr="004C16CA" w:rsidRDefault="000F7C00" w:rsidP="00211FA3">
            <w:pPr>
              <w:spacing w:after="0" w:line="240" w:lineRule="auto"/>
              <w:rPr>
                <w:rFonts w:ascii="Times New Roman" w:eastAsia="Times New Roman" w:hAnsi="Times New Roman" w:cs="Times New Roman"/>
                <w:sz w:val="20"/>
                <w:szCs w:val="20"/>
              </w:rPr>
            </w:pPr>
          </w:p>
        </w:tc>
        <w:tc>
          <w:tcPr>
            <w:tcW w:w="1543" w:type="dxa"/>
            <w:gridSpan w:val="2"/>
            <w:tcBorders>
              <w:top w:val="nil"/>
              <w:left w:val="nil"/>
              <w:bottom w:val="nil"/>
              <w:right w:val="nil"/>
            </w:tcBorders>
            <w:shd w:val="clear" w:color="auto" w:fill="auto"/>
            <w:noWrap/>
            <w:vAlign w:val="bottom"/>
            <w:hideMark/>
          </w:tcPr>
          <w:p w14:paraId="36AE6A61" w14:textId="77777777" w:rsidR="000F7C00" w:rsidRPr="004C16CA" w:rsidRDefault="000F7C00" w:rsidP="00211FA3">
            <w:pPr>
              <w:spacing w:after="0" w:line="240" w:lineRule="auto"/>
              <w:rPr>
                <w:rFonts w:ascii="Times New Roman" w:eastAsia="Times New Roman" w:hAnsi="Times New Roman" w:cs="Times New Roman"/>
                <w:sz w:val="20"/>
                <w:szCs w:val="20"/>
              </w:rPr>
            </w:pPr>
          </w:p>
        </w:tc>
        <w:tc>
          <w:tcPr>
            <w:tcW w:w="1543" w:type="dxa"/>
            <w:gridSpan w:val="2"/>
            <w:tcBorders>
              <w:top w:val="nil"/>
              <w:left w:val="nil"/>
              <w:bottom w:val="nil"/>
              <w:right w:val="nil"/>
            </w:tcBorders>
            <w:shd w:val="clear" w:color="auto" w:fill="auto"/>
            <w:noWrap/>
            <w:vAlign w:val="bottom"/>
            <w:hideMark/>
          </w:tcPr>
          <w:p w14:paraId="5C33D232" w14:textId="77777777" w:rsidR="000F7C00" w:rsidRPr="004C16CA" w:rsidRDefault="000F7C00" w:rsidP="00211FA3">
            <w:pPr>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shd w:val="clear" w:color="auto" w:fill="auto"/>
            <w:noWrap/>
            <w:vAlign w:val="bottom"/>
            <w:hideMark/>
          </w:tcPr>
          <w:p w14:paraId="4B13A287" w14:textId="77777777" w:rsidR="000F7C00" w:rsidRPr="004C16CA" w:rsidRDefault="000F7C00" w:rsidP="00211FA3">
            <w:pPr>
              <w:spacing w:after="0" w:line="240" w:lineRule="auto"/>
              <w:rPr>
                <w:rFonts w:ascii="Times New Roman" w:eastAsia="Times New Roman" w:hAnsi="Times New Roman" w:cs="Times New Roman"/>
                <w:sz w:val="20"/>
                <w:szCs w:val="20"/>
              </w:rPr>
            </w:pPr>
          </w:p>
        </w:tc>
        <w:tc>
          <w:tcPr>
            <w:tcW w:w="1543" w:type="dxa"/>
            <w:gridSpan w:val="3"/>
            <w:tcBorders>
              <w:top w:val="nil"/>
              <w:left w:val="nil"/>
              <w:bottom w:val="nil"/>
              <w:right w:val="nil"/>
            </w:tcBorders>
            <w:shd w:val="clear" w:color="auto" w:fill="auto"/>
            <w:noWrap/>
            <w:vAlign w:val="bottom"/>
            <w:hideMark/>
          </w:tcPr>
          <w:p w14:paraId="4B4EF121" w14:textId="77777777" w:rsidR="000F7C00" w:rsidRPr="004C16CA" w:rsidRDefault="000F7C00" w:rsidP="00211FA3">
            <w:pPr>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shd w:val="clear" w:color="auto" w:fill="auto"/>
            <w:noWrap/>
            <w:vAlign w:val="bottom"/>
            <w:hideMark/>
          </w:tcPr>
          <w:p w14:paraId="2E8561E5" w14:textId="77777777" w:rsidR="000F7C00" w:rsidRPr="004C16CA" w:rsidRDefault="000F7C00" w:rsidP="00211FA3">
            <w:pPr>
              <w:spacing w:after="0" w:line="240" w:lineRule="auto"/>
              <w:rPr>
                <w:rFonts w:ascii="Times New Roman" w:eastAsia="Times New Roman" w:hAnsi="Times New Roman" w:cs="Times New Roman"/>
                <w:sz w:val="20"/>
                <w:szCs w:val="20"/>
              </w:rPr>
            </w:pPr>
          </w:p>
        </w:tc>
      </w:tr>
      <w:tr w:rsidR="000F7C00" w:rsidRPr="004C16CA" w14:paraId="55CB0788" w14:textId="77777777" w:rsidTr="00211FA3">
        <w:trPr>
          <w:trHeight w:val="290"/>
        </w:trPr>
        <w:tc>
          <w:tcPr>
            <w:tcW w:w="2160" w:type="dxa"/>
            <w:gridSpan w:val="2"/>
            <w:tcBorders>
              <w:top w:val="nil"/>
              <w:left w:val="nil"/>
              <w:bottom w:val="nil"/>
              <w:right w:val="nil"/>
            </w:tcBorders>
            <w:shd w:val="clear" w:color="auto" w:fill="auto"/>
            <w:noWrap/>
            <w:vAlign w:val="bottom"/>
            <w:hideMark/>
          </w:tcPr>
          <w:p w14:paraId="588FDC19" w14:textId="77777777" w:rsidR="000F7C00" w:rsidRPr="00CE60CE" w:rsidRDefault="000F7C00" w:rsidP="00211FA3">
            <w:pPr>
              <w:spacing w:after="0" w:line="240" w:lineRule="auto"/>
              <w:rPr>
                <w:rFonts w:ascii="Times New Roman" w:eastAsia="Times New Roman" w:hAnsi="Times New Roman" w:cs="Times New Roman"/>
                <w:i/>
                <w:color w:val="000000"/>
              </w:rPr>
            </w:pPr>
            <w:r w:rsidRPr="00CE60CE">
              <w:rPr>
                <w:rFonts w:ascii="Times New Roman" w:eastAsia="Times New Roman" w:hAnsi="Times New Roman" w:cs="Times New Roman"/>
                <w:i/>
                <w:color w:val="000000"/>
              </w:rPr>
              <w:t>Overall</w:t>
            </w:r>
          </w:p>
        </w:tc>
        <w:tc>
          <w:tcPr>
            <w:tcW w:w="1542" w:type="dxa"/>
            <w:gridSpan w:val="2"/>
            <w:tcBorders>
              <w:top w:val="nil"/>
              <w:left w:val="nil"/>
              <w:bottom w:val="nil"/>
              <w:right w:val="nil"/>
            </w:tcBorders>
            <w:shd w:val="clear" w:color="auto" w:fill="auto"/>
            <w:noWrap/>
            <w:vAlign w:val="bottom"/>
            <w:hideMark/>
          </w:tcPr>
          <w:p w14:paraId="21FB8047"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17,482 </w:t>
            </w:r>
          </w:p>
        </w:tc>
        <w:tc>
          <w:tcPr>
            <w:tcW w:w="1543" w:type="dxa"/>
            <w:gridSpan w:val="2"/>
            <w:tcBorders>
              <w:top w:val="nil"/>
              <w:left w:val="nil"/>
              <w:bottom w:val="nil"/>
              <w:right w:val="nil"/>
            </w:tcBorders>
            <w:shd w:val="clear" w:color="auto" w:fill="auto"/>
            <w:noWrap/>
            <w:vAlign w:val="bottom"/>
            <w:hideMark/>
          </w:tcPr>
          <w:p w14:paraId="4874EB6D"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27,579 </w:t>
            </w:r>
          </w:p>
        </w:tc>
        <w:tc>
          <w:tcPr>
            <w:tcW w:w="1543" w:type="dxa"/>
            <w:gridSpan w:val="2"/>
            <w:tcBorders>
              <w:top w:val="nil"/>
              <w:left w:val="nil"/>
              <w:bottom w:val="nil"/>
              <w:right w:val="nil"/>
            </w:tcBorders>
            <w:shd w:val="clear" w:color="auto" w:fill="auto"/>
            <w:noWrap/>
            <w:vAlign w:val="bottom"/>
            <w:hideMark/>
          </w:tcPr>
          <w:p w14:paraId="487880F3"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41,206 </w:t>
            </w:r>
          </w:p>
        </w:tc>
        <w:tc>
          <w:tcPr>
            <w:tcW w:w="1543" w:type="dxa"/>
            <w:gridSpan w:val="2"/>
            <w:tcBorders>
              <w:top w:val="nil"/>
              <w:left w:val="nil"/>
              <w:bottom w:val="nil"/>
              <w:right w:val="nil"/>
            </w:tcBorders>
            <w:shd w:val="clear" w:color="auto" w:fill="auto"/>
            <w:noWrap/>
            <w:vAlign w:val="bottom"/>
            <w:hideMark/>
          </w:tcPr>
          <w:p w14:paraId="51F7C7A3"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58,062 </w:t>
            </w:r>
          </w:p>
        </w:tc>
        <w:tc>
          <w:tcPr>
            <w:tcW w:w="1543" w:type="dxa"/>
            <w:tcBorders>
              <w:top w:val="nil"/>
              <w:left w:val="nil"/>
              <w:bottom w:val="nil"/>
              <w:right w:val="nil"/>
            </w:tcBorders>
            <w:shd w:val="clear" w:color="auto" w:fill="auto"/>
            <w:noWrap/>
            <w:vAlign w:val="bottom"/>
            <w:hideMark/>
          </w:tcPr>
          <w:p w14:paraId="29B29E7E"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80,868 </w:t>
            </w:r>
          </w:p>
        </w:tc>
        <w:tc>
          <w:tcPr>
            <w:tcW w:w="1543" w:type="dxa"/>
            <w:gridSpan w:val="3"/>
            <w:tcBorders>
              <w:top w:val="nil"/>
              <w:left w:val="nil"/>
              <w:bottom w:val="nil"/>
              <w:right w:val="nil"/>
            </w:tcBorders>
            <w:shd w:val="clear" w:color="auto" w:fill="auto"/>
            <w:noWrap/>
            <w:vAlign w:val="bottom"/>
            <w:hideMark/>
          </w:tcPr>
          <w:p w14:paraId="44771F4A" w14:textId="48DCC8D0"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w:t>
            </w:r>
            <w:r w:rsidR="00CC7D9F">
              <w:rPr>
                <w:rFonts w:ascii="Times New Roman" w:eastAsia="Times New Roman" w:hAnsi="Times New Roman" w:cs="Times New Roman"/>
                <w:color w:val="000000"/>
              </w:rPr>
              <w:t>174,185</w:t>
            </w:r>
            <w:r w:rsidRPr="004C16CA">
              <w:rPr>
                <w:rFonts w:ascii="Times New Roman" w:eastAsia="Times New Roman" w:hAnsi="Times New Roman" w:cs="Times New Roman"/>
                <w:color w:val="000000"/>
              </w:rPr>
              <w:t xml:space="preserve"> </w:t>
            </w:r>
          </w:p>
        </w:tc>
        <w:tc>
          <w:tcPr>
            <w:tcW w:w="1543" w:type="dxa"/>
            <w:tcBorders>
              <w:top w:val="nil"/>
              <w:left w:val="nil"/>
              <w:bottom w:val="nil"/>
              <w:right w:val="nil"/>
            </w:tcBorders>
            <w:shd w:val="clear" w:color="auto" w:fill="auto"/>
            <w:noWrap/>
            <w:vAlign w:val="bottom"/>
            <w:hideMark/>
          </w:tcPr>
          <w:p w14:paraId="28F839B8"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0.332</w:t>
            </w:r>
          </w:p>
        </w:tc>
      </w:tr>
      <w:tr w:rsidR="000F7C00" w:rsidRPr="004C16CA" w14:paraId="786CED34" w14:textId="77777777" w:rsidTr="00211FA3">
        <w:trPr>
          <w:trHeight w:val="290"/>
        </w:trPr>
        <w:tc>
          <w:tcPr>
            <w:tcW w:w="2160" w:type="dxa"/>
            <w:gridSpan w:val="2"/>
            <w:tcBorders>
              <w:top w:val="nil"/>
              <w:left w:val="nil"/>
              <w:bottom w:val="nil"/>
              <w:right w:val="nil"/>
            </w:tcBorders>
            <w:shd w:val="clear" w:color="auto" w:fill="auto"/>
            <w:noWrap/>
            <w:vAlign w:val="bottom"/>
            <w:hideMark/>
          </w:tcPr>
          <w:p w14:paraId="68ECD561" w14:textId="77777777" w:rsidR="000F7C00" w:rsidRPr="004C16CA" w:rsidRDefault="000F7C00" w:rsidP="00211FA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C16CA">
              <w:rPr>
                <w:rFonts w:ascii="Times New Roman" w:eastAsia="Times New Roman" w:hAnsi="Times New Roman" w:cs="Times New Roman"/>
                <w:color w:val="000000"/>
              </w:rPr>
              <w:t>Less than HS</w:t>
            </w:r>
          </w:p>
        </w:tc>
        <w:tc>
          <w:tcPr>
            <w:tcW w:w="1542" w:type="dxa"/>
            <w:gridSpan w:val="2"/>
            <w:tcBorders>
              <w:top w:val="nil"/>
              <w:left w:val="nil"/>
              <w:bottom w:val="nil"/>
              <w:right w:val="nil"/>
            </w:tcBorders>
            <w:shd w:val="clear" w:color="auto" w:fill="auto"/>
            <w:noWrap/>
            <w:vAlign w:val="bottom"/>
            <w:hideMark/>
          </w:tcPr>
          <w:p w14:paraId="60C2D66F"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13,064 </w:t>
            </w:r>
          </w:p>
        </w:tc>
        <w:tc>
          <w:tcPr>
            <w:tcW w:w="1543" w:type="dxa"/>
            <w:gridSpan w:val="2"/>
            <w:tcBorders>
              <w:top w:val="nil"/>
              <w:left w:val="nil"/>
              <w:bottom w:val="nil"/>
              <w:right w:val="nil"/>
            </w:tcBorders>
            <w:shd w:val="clear" w:color="auto" w:fill="auto"/>
            <w:noWrap/>
            <w:vAlign w:val="bottom"/>
            <w:hideMark/>
          </w:tcPr>
          <w:p w14:paraId="2DA94541"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20,322 </w:t>
            </w:r>
          </w:p>
        </w:tc>
        <w:tc>
          <w:tcPr>
            <w:tcW w:w="1543" w:type="dxa"/>
            <w:gridSpan w:val="2"/>
            <w:tcBorders>
              <w:top w:val="nil"/>
              <w:left w:val="nil"/>
              <w:bottom w:val="nil"/>
              <w:right w:val="nil"/>
            </w:tcBorders>
            <w:shd w:val="clear" w:color="auto" w:fill="auto"/>
            <w:noWrap/>
            <w:vAlign w:val="bottom"/>
            <w:hideMark/>
          </w:tcPr>
          <w:p w14:paraId="51D29BCA"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31,112 </w:t>
            </w:r>
          </w:p>
        </w:tc>
        <w:tc>
          <w:tcPr>
            <w:tcW w:w="1543" w:type="dxa"/>
            <w:gridSpan w:val="2"/>
            <w:tcBorders>
              <w:top w:val="nil"/>
              <w:left w:val="nil"/>
              <w:bottom w:val="nil"/>
              <w:right w:val="nil"/>
            </w:tcBorders>
            <w:shd w:val="clear" w:color="auto" w:fill="auto"/>
            <w:noWrap/>
            <w:vAlign w:val="bottom"/>
            <w:hideMark/>
          </w:tcPr>
          <w:p w14:paraId="17AF71AC"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46,449 </w:t>
            </w:r>
          </w:p>
        </w:tc>
        <w:tc>
          <w:tcPr>
            <w:tcW w:w="1543" w:type="dxa"/>
            <w:tcBorders>
              <w:top w:val="nil"/>
              <w:left w:val="nil"/>
              <w:bottom w:val="nil"/>
              <w:right w:val="nil"/>
            </w:tcBorders>
            <w:shd w:val="clear" w:color="auto" w:fill="auto"/>
            <w:noWrap/>
            <w:vAlign w:val="bottom"/>
            <w:hideMark/>
          </w:tcPr>
          <w:p w14:paraId="40A88C6E"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62,390 </w:t>
            </w:r>
          </w:p>
        </w:tc>
        <w:tc>
          <w:tcPr>
            <w:tcW w:w="1543" w:type="dxa"/>
            <w:gridSpan w:val="3"/>
            <w:tcBorders>
              <w:top w:val="nil"/>
              <w:left w:val="nil"/>
              <w:bottom w:val="nil"/>
              <w:right w:val="nil"/>
            </w:tcBorders>
            <w:shd w:val="clear" w:color="auto" w:fill="auto"/>
            <w:noWrap/>
            <w:vAlign w:val="bottom"/>
            <w:hideMark/>
          </w:tcPr>
          <w:p w14:paraId="1D20339A"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101,608 </w:t>
            </w:r>
          </w:p>
        </w:tc>
        <w:tc>
          <w:tcPr>
            <w:tcW w:w="1543" w:type="dxa"/>
            <w:tcBorders>
              <w:top w:val="nil"/>
              <w:left w:val="nil"/>
              <w:bottom w:val="nil"/>
              <w:right w:val="nil"/>
            </w:tcBorders>
            <w:shd w:val="clear" w:color="auto" w:fill="auto"/>
            <w:noWrap/>
            <w:vAlign w:val="bottom"/>
            <w:hideMark/>
          </w:tcPr>
          <w:p w14:paraId="7768540A"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0.324</w:t>
            </w:r>
          </w:p>
        </w:tc>
      </w:tr>
      <w:tr w:rsidR="000F7C00" w:rsidRPr="004C16CA" w14:paraId="6ABA0934" w14:textId="77777777" w:rsidTr="00211FA3">
        <w:trPr>
          <w:trHeight w:val="290"/>
        </w:trPr>
        <w:tc>
          <w:tcPr>
            <w:tcW w:w="2160" w:type="dxa"/>
            <w:gridSpan w:val="2"/>
            <w:tcBorders>
              <w:top w:val="nil"/>
              <w:left w:val="nil"/>
              <w:bottom w:val="nil"/>
              <w:right w:val="nil"/>
            </w:tcBorders>
            <w:shd w:val="clear" w:color="auto" w:fill="auto"/>
            <w:noWrap/>
            <w:vAlign w:val="bottom"/>
            <w:hideMark/>
          </w:tcPr>
          <w:p w14:paraId="05D4E18D" w14:textId="77777777" w:rsidR="000F7C00" w:rsidRPr="004C16CA" w:rsidRDefault="000F7C00" w:rsidP="00211FA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C16CA">
              <w:rPr>
                <w:rFonts w:ascii="Times New Roman" w:eastAsia="Times New Roman" w:hAnsi="Times New Roman" w:cs="Times New Roman"/>
                <w:color w:val="000000"/>
              </w:rPr>
              <w:t>HS Degree</w:t>
            </w:r>
          </w:p>
        </w:tc>
        <w:tc>
          <w:tcPr>
            <w:tcW w:w="1542" w:type="dxa"/>
            <w:gridSpan w:val="2"/>
            <w:tcBorders>
              <w:top w:val="nil"/>
              <w:left w:val="nil"/>
              <w:bottom w:val="nil"/>
              <w:right w:val="nil"/>
            </w:tcBorders>
            <w:shd w:val="clear" w:color="auto" w:fill="auto"/>
            <w:noWrap/>
            <w:vAlign w:val="bottom"/>
            <w:hideMark/>
          </w:tcPr>
          <w:p w14:paraId="52DD82DD"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17,419 </w:t>
            </w:r>
          </w:p>
        </w:tc>
        <w:tc>
          <w:tcPr>
            <w:tcW w:w="1543" w:type="dxa"/>
            <w:gridSpan w:val="2"/>
            <w:tcBorders>
              <w:top w:val="nil"/>
              <w:left w:val="nil"/>
              <w:bottom w:val="nil"/>
              <w:right w:val="nil"/>
            </w:tcBorders>
            <w:shd w:val="clear" w:color="auto" w:fill="auto"/>
            <w:noWrap/>
            <w:vAlign w:val="bottom"/>
            <w:hideMark/>
          </w:tcPr>
          <w:p w14:paraId="16F22B4F"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26,128 </w:t>
            </w:r>
          </w:p>
        </w:tc>
        <w:tc>
          <w:tcPr>
            <w:tcW w:w="1543" w:type="dxa"/>
            <w:gridSpan w:val="2"/>
            <w:tcBorders>
              <w:top w:val="nil"/>
              <w:left w:val="nil"/>
              <w:bottom w:val="nil"/>
              <w:right w:val="nil"/>
            </w:tcBorders>
            <w:shd w:val="clear" w:color="auto" w:fill="auto"/>
            <w:noWrap/>
            <w:vAlign w:val="bottom"/>
            <w:hideMark/>
          </w:tcPr>
          <w:p w14:paraId="63743310"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38,321 </w:t>
            </w:r>
          </w:p>
        </w:tc>
        <w:tc>
          <w:tcPr>
            <w:tcW w:w="1543" w:type="dxa"/>
            <w:gridSpan w:val="2"/>
            <w:tcBorders>
              <w:top w:val="nil"/>
              <w:left w:val="nil"/>
              <w:bottom w:val="nil"/>
              <w:right w:val="nil"/>
            </w:tcBorders>
            <w:shd w:val="clear" w:color="auto" w:fill="auto"/>
            <w:noWrap/>
            <w:vAlign w:val="bottom"/>
            <w:hideMark/>
          </w:tcPr>
          <w:p w14:paraId="7BD7E3F2"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55,739 </w:t>
            </w:r>
          </w:p>
        </w:tc>
        <w:tc>
          <w:tcPr>
            <w:tcW w:w="1543" w:type="dxa"/>
            <w:tcBorders>
              <w:top w:val="nil"/>
              <w:left w:val="nil"/>
              <w:bottom w:val="nil"/>
              <w:right w:val="nil"/>
            </w:tcBorders>
            <w:shd w:val="clear" w:color="auto" w:fill="auto"/>
            <w:noWrap/>
            <w:vAlign w:val="bottom"/>
            <w:hideMark/>
          </w:tcPr>
          <w:p w14:paraId="2450B3C7"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72,577 </w:t>
            </w:r>
          </w:p>
        </w:tc>
        <w:tc>
          <w:tcPr>
            <w:tcW w:w="1543" w:type="dxa"/>
            <w:gridSpan w:val="3"/>
            <w:tcBorders>
              <w:top w:val="nil"/>
              <w:left w:val="nil"/>
              <w:bottom w:val="nil"/>
              <w:right w:val="nil"/>
            </w:tcBorders>
            <w:shd w:val="clear" w:color="auto" w:fill="auto"/>
            <w:noWrap/>
            <w:vAlign w:val="bottom"/>
            <w:hideMark/>
          </w:tcPr>
          <w:p w14:paraId="470D8C52"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119,027 </w:t>
            </w:r>
          </w:p>
        </w:tc>
        <w:tc>
          <w:tcPr>
            <w:tcW w:w="1543" w:type="dxa"/>
            <w:tcBorders>
              <w:top w:val="nil"/>
              <w:left w:val="nil"/>
              <w:bottom w:val="nil"/>
              <w:right w:val="nil"/>
            </w:tcBorders>
            <w:shd w:val="clear" w:color="auto" w:fill="auto"/>
            <w:noWrap/>
            <w:vAlign w:val="bottom"/>
            <w:hideMark/>
          </w:tcPr>
          <w:p w14:paraId="6DCCF403"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0.302</w:t>
            </w:r>
          </w:p>
        </w:tc>
      </w:tr>
      <w:tr w:rsidR="000F7C00" w:rsidRPr="004C16CA" w14:paraId="2D657907" w14:textId="77777777" w:rsidTr="00211FA3">
        <w:trPr>
          <w:trHeight w:val="290"/>
        </w:trPr>
        <w:tc>
          <w:tcPr>
            <w:tcW w:w="2160" w:type="dxa"/>
            <w:gridSpan w:val="2"/>
            <w:tcBorders>
              <w:top w:val="nil"/>
              <w:left w:val="nil"/>
              <w:bottom w:val="nil"/>
              <w:right w:val="nil"/>
            </w:tcBorders>
            <w:shd w:val="clear" w:color="auto" w:fill="auto"/>
            <w:noWrap/>
            <w:vAlign w:val="bottom"/>
            <w:hideMark/>
          </w:tcPr>
          <w:p w14:paraId="7E00024D" w14:textId="77777777" w:rsidR="000F7C00" w:rsidRPr="004C16CA" w:rsidRDefault="000F7C00" w:rsidP="00211FA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C16CA">
              <w:rPr>
                <w:rFonts w:ascii="Times New Roman" w:eastAsia="Times New Roman" w:hAnsi="Times New Roman" w:cs="Times New Roman"/>
                <w:color w:val="000000"/>
              </w:rPr>
              <w:t>AA</w:t>
            </w:r>
          </w:p>
        </w:tc>
        <w:tc>
          <w:tcPr>
            <w:tcW w:w="1542" w:type="dxa"/>
            <w:gridSpan w:val="2"/>
            <w:tcBorders>
              <w:top w:val="nil"/>
              <w:left w:val="nil"/>
              <w:bottom w:val="nil"/>
              <w:right w:val="nil"/>
            </w:tcBorders>
            <w:shd w:val="clear" w:color="auto" w:fill="auto"/>
            <w:noWrap/>
            <w:vAlign w:val="bottom"/>
            <w:hideMark/>
          </w:tcPr>
          <w:p w14:paraId="6165522F"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21,773 </w:t>
            </w:r>
          </w:p>
        </w:tc>
        <w:tc>
          <w:tcPr>
            <w:tcW w:w="1543" w:type="dxa"/>
            <w:gridSpan w:val="2"/>
            <w:tcBorders>
              <w:top w:val="nil"/>
              <w:left w:val="nil"/>
              <w:bottom w:val="nil"/>
              <w:right w:val="nil"/>
            </w:tcBorders>
            <w:shd w:val="clear" w:color="auto" w:fill="auto"/>
            <w:noWrap/>
            <w:vAlign w:val="bottom"/>
            <w:hideMark/>
          </w:tcPr>
          <w:p w14:paraId="070ECBFD"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30,482 </w:t>
            </w:r>
          </w:p>
        </w:tc>
        <w:tc>
          <w:tcPr>
            <w:tcW w:w="1543" w:type="dxa"/>
            <w:gridSpan w:val="2"/>
            <w:tcBorders>
              <w:top w:val="nil"/>
              <w:left w:val="nil"/>
              <w:bottom w:val="nil"/>
              <w:right w:val="nil"/>
            </w:tcBorders>
            <w:shd w:val="clear" w:color="auto" w:fill="auto"/>
            <w:noWrap/>
            <w:vAlign w:val="bottom"/>
            <w:hideMark/>
          </w:tcPr>
          <w:p w14:paraId="5DB46680"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43,546 </w:t>
            </w:r>
          </w:p>
        </w:tc>
        <w:tc>
          <w:tcPr>
            <w:tcW w:w="1543" w:type="dxa"/>
            <w:gridSpan w:val="2"/>
            <w:tcBorders>
              <w:top w:val="nil"/>
              <w:left w:val="nil"/>
              <w:bottom w:val="nil"/>
              <w:right w:val="nil"/>
            </w:tcBorders>
            <w:shd w:val="clear" w:color="auto" w:fill="auto"/>
            <w:noWrap/>
            <w:vAlign w:val="bottom"/>
            <w:hideMark/>
          </w:tcPr>
          <w:p w14:paraId="6CCD222D"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60,965 </w:t>
            </w:r>
          </w:p>
        </w:tc>
        <w:tc>
          <w:tcPr>
            <w:tcW w:w="1543" w:type="dxa"/>
            <w:tcBorders>
              <w:top w:val="nil"/>
              <w:left w:val="nil"/>
              <w:bottom w:val="nil"/>
              <w:right w:val="nil"/>
            </w:tcBorders>
            <w:shd w:val="clear" w:color="auto" w:fill="auto"/>
            <w:noWrap/>
            <w:vAlign w:val="bottom"/>
            <w:hideMark/>
          </w:tcPr>
          <w:p w14:paraId="14A504D9"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81,287 </w:t>
            </w:r>
          </w:p>
        </w:tc>
        <w:tc>
          <w:tcPr>
            <w:tcW w:w="1543" w:type="dxa"/>
            <w:gridSpan w:val="3"/>
            <w:tcBorders>
              <w:top w:val="nil"/>
              <w:left w:val="nil"/>
              <w:bottom w:val="nil"/>
              <w:right w:val="nil"/>
            </w:tcBorders>
            <w:shd w:val="clear" w:color="auto" w:fill="auto"/>
            <w:noWrap/>
            <w:vAlign w:val="bottom"/>
            <w:hideMark/>
          </w:tcPr>
          <w:p w14:paraId="19B7ACE9" w14:textId="5910BEA2"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145,</w:t>
            </w:r>
            <w:r w:rsidR="00DF1FDB" w:rsidRPr="004C16CA">
              <w:rPr>
                <w:rFonts w:ascii="Times New Roman" w:eastAsia="Times New Roman" w:hAnsi="Times New Roman" w:cs="Times New Roman"/>
                <w:color w:val="000000"/>
              </w:rPr>
              <w:t>15</w:t>
            </w:r>
            <w:r w:rsidR="00DF1FDB">
              <w:rPr>
                <w:rFonts w:ascii="Times New Roman" w:eastAsia="Times New Roman" w:hAnsi="Times New Roman" w:cs="Times New Roman"/>
                <w:color w:val="000000"/>
              </w:rPr>
              <w:t>7</w:t>
            </w:r>
            <w:r w:rsidR="00DF1FDB" w:rsidRPr="004C16CA">
              <w:rPr>
                <w:rFonts w:ascii="Times New Roman" w:eastAsia="Times New Roman" w:hAnsi="Times New Roman" w:cs="Times New Roman"/>
                <w:color w:val="000000"/>
              </w:rPr>
              <w:t xml:space="preserve"> </w:t>
            </w:r>
          </w:p>
        </w:tc>
        <w:tc>
          <w:tcPr>
            <w:tcW w:w="1543" w:type="dxa"/>
            <w:tcBorders>
              <w:top w:val="nil"/>
              <w:left w:val="nil"/>
              <w:bottom w:val="nil"/>
              <w:right w:val="nil"/>
            </w:tcBorders>
            <w:shd w:val="clear" w:color="auto" w:fill="auto"/>
            <w:noWrap/>
            <w:vAlign w:val="bottom"/>
            <w:hideMark/>
          </w:tcPr>
          <w:p w14:paraId="36712356"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0.293</w:t>
            </w:r>
          </w:p>
        </w:tc>
      </w:tr>
      <w:tr w:rsidR="000F7C00" w:rsidRPr="004C16CA" w14:paraId="148709AE" w14:textId="77777777" w:rsidTr="00211FA3">
        <w:trPr>
          <w:trHeight w:val="290"/>
        </w:trPr>
        <w:tc>
          <w:tcPr>
            <w:tcW w:w="2160" w:type="dxa"/>
            <w:gridSpan w:val="2"/>
            <w:tcBorders>
              <w:top w:val="nil"/>
              <w:left w:val="nil"/>
              <w:bottom w:val="nil"/>
              <w:right w:val="nil"/>
            </w:tcBorders>
            <w:shd w:val="clear" w:color="auto" w:fill="auto"/>
            <w:noWrap/>
            <w:vAlign w:val="bottom"/>
            <w:hideMark/>
          </w:tcPr>
          <w:p w14:paraId="28E0D2C4" w14:textId="77777777" w:rsidR="000F7C00" w:rsidRPr="004C16CA" w:rsidRDefault="000F7C00" w:rsidP="00211FA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C16CA">
              <w:rPr>
                <w:rFonts w:ascii="Times New Roman" w:eastAsia="Times New Roman" w:hAnsi="Times New Roman" w:cs="Times New Roman"/>
                <w:color w:val="000000"/>
              </w:rPr>
              <w:t>BA or Greater</w:t>
            </w:r>
          </w:p>
        </w:tc>
        <w:tc>
          <w:tcPr>
            <w:tcW w:w="1542" w:type="dxa"/>
            <w:gridSpan w:val="2"/>
            <w:tcBorders>
              <w:top w:val="nil"/>
              <w:left w:val="nil"/>
              <w:bottom w:val="nil"/>
              <w:right w:val="nil"/>
            </w:tcBorders>
            <w:shd w:val="clear" w:color="auto" w:fill="auto"/>
            <w:noWrap/>
            <w:vAlign w:val="bottom"/>
            <w:hideMark/>
          </w:tcPr>
          <w:p w14:paraId="54027F25"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26,708 </w:t>
            </w:r>
          </w:p>
        </w:tc>
        <w:tc>
          <w:tcPr>
            <w:tcW w:w="1543" w:type="dxa"/>
            <w:gridSpan w:val="2"/>
            <w:tcBorders>
              <w:top w:val="nil"/>
              <w:left w:val="nil"/>
              <w:bottom w:val="nil"/>
              <w:right w:val="nil"/>
            </w:tcBorders>
            <w:shd w:val="clear" w:color="auto" w:fill="auto"/>
            <w:noWrap/>
            <w:vAlign w:val="bottom"/>
            <w:hideMark/>
          </w:tcPr>
          <w:p w14:paraId="7ED49564"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37,740 </w:t>
            </w:r>
          </w:p>
        </w:tc>
        <w:tc>
          <w:tcPr>
            <w:tcW w:w="1543" w:type="dxa"/>
            <w:gridSpan w:val="2"/>
            <w:tcBorders>
              <w:top w:val="nil"/>
              <w:left w:val="nil"/>
              <w:bottom w:val="nil"/>
              <w:right w:val="nil"/>
            </w:tcBorders>
            <w:shd w:val="clear" w:color="auto" w:fill="auto"/>
            <w:noWrap/>
            <w:vAlign w:val="bottom"/>
            <w:hideMark/>
          </w:tcPr>
          <w:p w14:paraId="3C740D32"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53,417 </w:t>
            </w:r>
          </w:p>
        </w:tc>
        <w:tc>
          <w:tcPr>
            <w:tcW w:w="1543" w:type="dxa"/>
            <w:gridSpan w:val="2"/>
            <w:tcBorders>
              <w:top w:val="nil"/>
              <w:left w:val="nil"/>
              <w:bottom w:val="nil"/>
              <w:right w:val="nil"/>
            </w:tcBorders>
            <w:shd w:val="clear" w:color="auto" w:fill="auto"/>
            <w:noWrap/>
            <w:vAlign w:val="bottom"/>
            <w:hideMark/>
          </w:tcPr>
          <w:p w14:paraId="4B2B1858"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75,480 </w:t>
            </w:r>
          </w:p>
        </w:tc>
        <w:tc>
          <w:tcPr>
            <w:tcW w:w="1543" w:type="dxa"/>
            <w:tcBorders>
              <w:top w:val="nil"/>
              <w:left w:val="nil"/>
              <w:bottom w:val="nil"/>
              <w:right w:val="nil"/>
            </w:tcBorders>
            <w:shd w:val="clear" w:color="auto" w:fill="auto"/>
            <w:noWrap/>
            <w:vAlign w:val="bottom"/>
            <w:hideMark/>
          </w:tcPr>
          <w:p w14:paraId="4F51D85C"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113,221 </w:t>
            </w:r>
          </w:p>
        </w:tc>
        <w:tc>
          <w:tcPr>
            <w:tcW w:w="1543" w:type="dxa"/>
            <w:gridSpan w:val="3"/>
            <w:tcBorders>
              <w:top w:val="nil"/>
              <w:left w:val="nil"/>
              <w:bottom w:val="nil"/>
              <w:right w:val="nil"/>
            </w:tcBorders>
            <w:shd w:val="clear" w:color="auto" w:fill="auto"/>
            <w:noWrap/>
            <w:vAlign w:val="bottom"/>
            <w:hideMark/>
          </w:tcPr>
          <w:p w14:paraId="11E62CF2" w14:textId="726E3C58"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w:t>
            </w:r>
            <w:r w:rsidR="0072008D">
              <w:rPr>
                <w:rFonts w:ascii="Times New Roman" w:eastAsia="Times New Roman" w:hAnsi="Times New Roman" w:cs="Times New Roman"/>
                <w:color w:val="000000"/>
              </w:rPr>
              <w:t>287,406</w:t>
            </w:r>
            <w:r w:rsidRPr="004C16CA">
              <w:rPr>
                <w:rFonts w:ascii="Times New Roman" w:eastAsia="Times New Roman" w:hAnsi="Times New Roman" w:cs="Times New Roman"/>
                <w:color w:val="000000"/>
              </w:rPr>
              <w:t xml:space="preserve"> </w:t>
            </w:r>
          </w:p>
        </w:tc>
        <w:tc>
          <w:tcPr>
            <w:tcW w:w="1543" w:type="dxa"/>
            <w:tcBorders>
              <w:top w:val="nil"/>
              <w:left w:val="nil"/>
              <w:bottom w:val="nil"/>
              <w:right w:val="nil"/>
            </w:tcBorders>
            <w:shd w:val="clear" w:color="auto" w:fill="auto"/>
            <w:noWrap/>
            <w:vAlign w:val="bottom"/>
            <w:hideMark/>
          </w:tcPr>
          <w:p w14:paraId="46570C7E"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0.332</w:t>
            </w:r>
          </w:p>
        </w:tc>
      </w:tr>
      <w:tr w:rsidR="000F7C00" w:rsidRPr="004C16CA" w14:paraId="0AE683EA" w14:textId="77777777" w:rsidTr="00211FA3">
        <w:trPr>
          <w:trHeight w:val="120"/>
        </w:trPr>
        <w:tc>
          <w:tcPr>
            <w:tcW w:w="2160" w:type="dxa"/>
            <w:gridSpan w:val="2"/>
            <w:tcBorders>
              <w:top w:val="nil"/>
              <w:left w:val="nil"/>
              <w:bottom w:val="nil"/>
              <w:right w:val="nil"/>
            </w:tcBorders>
            <w:shd w:val="clear" w:color="auto" w:fill="auto"/>
            <w:noWrap/>
            <w:vAlign w:val="bottom"/>
            <w:hideMark/>
          </w:tcPr>
          <w:p w14:paraId="1B8B0BC4" w14:textId="77777777" w:rsidR="000F7C00" w:rsidRPr="004C16CA" w:rsidRDefault="000F7C00" w:rsidP="00211FA3">
            <w:pPr>
              <w:spacing w:after="0" w:line="240" w:lineRule="auto"/>
              <w:jc w:val="right"/>
              <w:rPr>
                <w:rFonts w:ascii="Times New Roman" w:eastAsia="Times New Roman" w:hAnsi="Times New Roman" w:cs="Times New Roman"/>
                <w:color w:val="000000"/>
              </w:rPr>
            </w:pPr>
          </w:p>
        </w:tc>
        <w:tc>
          <w:tcPr>
            <w:tcW w:w="1542" w:type="dxa"/>
            <w:gridSpan w:val="2"/>
            <w:tcBorders>
              <w:top w:val="nil"/>
              <w:left w:val="nil"/>
              <w:bottom w:val="nil"/>
              <w:right w:val="nil"/>
            </w:tcBorders>
            <w:shd w:val="clear" w:color="auto" w:fill="auto"/>
            <w:noWrap/>
            <w:vAlign w:val="bottom"/>
            <w:hideMark/>
          </w:tcPr>
          <w:p w14:paraId="404F107B" w14:textId="77777777" w:rsidR="000F7C00" w:rsidRPr="004C16CA" w:rsidRDefault="000F7C00" w:rsidP="00211FA3">
            <w:pPr>
              <w:spacing w:after="0" w:line="240" w:lineRule="auto"/>
              <w:jc w:val="right"/>
              <w:rPr>
                <w:rFonts w:ascii="Times New Roman" w:eastAsia="Times New Roman" w:hAnsi="Times New Roman" w:cs="Times New Roman"/>
                <w:sz w:val="20"/>
                <w:szCs w:val="20"/>
              </w:rPr>
            </w:pPr>
          </w:p>
        </w:tc>
        <w:tc>
          <w:tcPr>
            <w:tcW w:w="1543" w:type="dxa"/>
            <w:gridSpan w:val="2"/>
            <w:tcBorders>
              <w:top w:val="nil"/>
              <w:left w:val="nil"/>
              <w:bottom w:val="nil"/>
              <w:right w:val="nil"/>
            </w:tcBorders>
            <w:shd w:val="clear" w:color="auto" w:fill="auto"/>
            <w:noWrap/>
            <w:vAlign w:val="bottom"/>
            <w:hideMark/>
          </w:tcPr>
          <w:p w14:paraId="343813F4" w14:textId="77777777" w:rsidR="000F7C00" w:rsidRPr="004C16CA" w:rsidRDefault="000F7C00" w:rsidP="00211FA3">
            <w:pPr>
              <w:spacing w:after="0" w:line="240" w:lineRule="auto"/>
              <w:jc w:val="right"/>
              <w:rPr>
                <w:rFonts w:ascii="Times New Roman" w:eastAsia="Times New Roman" w:hAnsi="Times New Roman" w:cs="Times New Roman"/>
                <w:sz w:val="20"/>
                <w:szCs w:val="20"/>
              </w:rPr>
            </w:pPr>
          </w:p>
        </w:tc>
        <w:tc>
          <w:tcPr>
            <w:tcW w:w="1543" w:type="dxa"/>
            <w:gridSpan w:val="2"/>
            <w:tcBorders>
              <w:top w:val="nil"/>
              <w:left w:val="nil"/>
              <w:bottom w:val="nil"/>
              <w:right w:val="nil"/>
            </w:tcBorders>
            <w:shd w:val="clear" w:color="auto" w:fill="auto"/>
            <w:noWrap/>
            <w:vAlign w:val="bottom"/>
            <w:hideMark/>
          </w:tcPr>
          <w:p w14:paraId="6662463D" w14:textId="77777777" w:rsidR="000F7C00" w:rsidRPr="004C16CA" w:rsidRDefault="000F7C00" w:rsidP="00211FA3">
            <w:pPr>
              <w:spacing w:after="0" w:line="240" w:lineRule="auto"/>
              <w:jc w:val="right"/>
              <w:rPr>
                <w:rFonts w:ascii="Times New Roman" w:eastAsia="Times New Roman" w:hAnsi="Times New Roman" w:cs="Times New Roman"/>
                <w:sz w:val="20"/>
                <w:szCs w:val="20"/>
              </w:rPr>
            </w:pPr>
          </w:p>
        </w:tc>
        <w:tc>
          <w:tcPr>
            <w:tcW w:w="1543" w:type="dxa"/>
            <w:gridSpan w:val="2"/>
            <w:tcBorders>
              <w:top w:val="nil"/>
              <w:left w:val="nil"/>
              <w:bottom w:val="nil"/>
              <w:right w:val="nil"/>
            </w:tcBorders>
            <w:shd w:val="clear" w:color="auto" w:fill="auto"/>
            <w:noWrap/>
            <w:vAlign w:val="bottom"/>
            <w:hideMark/>
          </w:tcPr>
          <w:p w14:paraId="632D80C1" w14:textId="77777777" w:rsidR="000F7C00" w:rsidRPr="004C16CA" w:rsidRDefault="000F7C00" w:rsidP="00211FA3">
            <w:pPr>
              <w:spacing w:after="0" w:line="240" w:lineRule="auto"/>
              <w:jc w:val="right"/>
              <w:rPr>
                <w:rFonts w:ascii="Times New Roman" w:eastAsia="Times New Roman" w:hAnsi="Times New Roman" w:cs="Times New Roman"/>
                <w:sz w:val="20"/>
                <w:szCs w:val="20"/>
              </w:rPr>
            </w:pPr>
          </w:p>
        </w:tc>
        <w:tc>
          <w:tcPr>
            <w:tcW w:w="1543" w:type="dxa"/>
            <w:tcBorders>
              <w:top w:val="nil"/>
              <w:left w:val="nil"/>
              <w:bottom w:val="nil"/>
              <w:right w:val="nil"/>
            </w:tcBorders>
            <w:shd w:val="clear" w:color="auto" w:fill="auto"/>
            <w:noWrap/>
            <w:vAlign w:val="bottom"/>
            <w:hideMark/>
          </w:tcPr>
          <w:p w14:paraId="63B149D9" w14:textId="77777777" w:rsidR="000F7C00" w:rsidRPr="004C16CA" w:rsidRDefault="000F7C00" w:rsidP="00211FA3">
            <w:pPr>
              <w:spacing w:after="0" w:line="240" w:lineRule="auto"/>
              <w:jc w:val="right"/>
              <w:rPr>
                <w:rFonts w:ascii="Times New Roman" w:eastAsia="Times New Roman" w:hAnsi="Times New Roman" w:cs="Times New Roman"/>
                <w:sz w:val="20"/>
                <w:szCs w:val="20"/>
              </w:rPr>
            </w:pPr>
          </w:p>
        </w:tc>
        <w:tc>
          <w:tcPr>
            <w:tcW w:w="1543" w:type="dxa"/>
            <w:gridSpan w:val="3"/>
            <w:tcBorders>
              <w:top w:val="nil"/>
              <w:left w:val="nil"/>
              <w:bottom w:val="nil"/>
              <w:right w:val="nil"/>
            </w:tcBorders>
            <w:shd w:val="clear" w:color="auto" w:fill="auto"/>
            <w:noWrap/>
            <w:vAlign w:val="bottom"/>
            <w:hideMark/>
          </w:tcPr>
          <w:p w14:paraId="236AEC97" w14:textId="77777777" w:rsidR="000F7C00" w:rsidRPr="004C16CA" w:rsidRDefault="000F7C00" w:rsidP="00211FA3">
            <w:pPr>
              <w:spacing w:after="0" w:line="240" w:lineRule="auto"/>
              <w:jc w:val="right"/>
              <w:rPr>
                <w:rFonts w:ascii="Times New Roman" w:eastAsia="Times New Roman" w:hAnsi="Times New Roman" w:cs="Times New Roman"/>
                <w:sz w:val="20"/>
                <w:szCs w:val="20"/>
              </w:rPr>
            </w:pPr>
          </w:p>
        </w:tc>
        <w:tc>
          <w:tcPr>
            <w:tcW w:w="1543" w:type="dxa"/>
            <w:tcBorders>
              <w:top w:val="nil"/>
              <w:left w:val="nil"/>
              <w:bottom w:val="nil"/>
              <w:right w:val="nil"/>
            </w:tcBorders>
            <w:shd w:val="clear" w:color="auto" w:fill="auto"/>
            <w:noWrap/>
            <w:vAlign w:val="bottom"/>
            <w:hideMark/>
          </w:tcPr>
          <w:p w14:paraId="58031FC4" w14:textId="77777777" w:rsidR="000F7C00" w:rsidRPr="004C16CA" w:rsidRDefault="000F7C00" w:rsidP="00211FA3">
            <w:pPr>
              <w:spacing w:after="0" w:line="240" w:lineRule="auto"/>
              <w:jc w:val="right"/>
              <w:rPr>
                <w:rFonts w:ascii="Times New Roman" w:eastAsia="Times New Roman" w:hAnsi="Times New Roman" w:cs="Times New Roman"/>
                <w:sz w:val="20"/>
                <w:szCs w:val="20"/>
              </w:rPr>
            </w:pPr>
          </w:p>
        </w:tc>
      </w:tr>
      <w:tr w:rsidR="000F7C00" w:rsidRPr="004C16CA" w14:paraId="5F2F4BF7" w14:textId="77777777" w:rsidTr="00211FA3">
        <w:trPr>
          <w:trHeight w:val="432"/>
        </w:trPr>
        <w:tc>
          <w:tcPr>
            <w:tcW w:w="2160" w:type="dxa"/>
            <w:gridSpan w:val="2"/>
            <w:tcBorders>
              <w:top w:val="nil"/>
              <w:left w:val="nil"/>
              <w:bottom w:val="nil"/>
              <w:right w:val="nil"/>
            </w:tcBorders>
            <w:shd w:val="clear" w:color="auto" w:fill="auto"/>
            <w:noWrap/>
            <w:vAlign w:val="bottom"/>
            <w:hideMark/>
          </w:tcPr>
          <w:p w14:paraId="485F5617" w14:textId="77777777" w:rsidR="000F7C00" w:rsidRPr="00CE60CE" w:rsidRDefault="000F7C00" w:rsidP="00211FA3">
            <w:pPr>
              <w:spacing w:after="0" w:line="240" w:lineRule="auto"/>
              <w:rPr>
                <w:rFonts w:ascii="Times New Roman" w:eastAsia="Times New Roman" w:hAnsi="Times New Roman" w:cs="Times New Roman"/>
                <w:b/>
                <w:color w:val="000000"/>
              </w:rPr>
            </w:pPr>
            <w:r w:rsidRPr="00CE60CE">
              <w:rPr>
                <w:rFonts w:ascii="Times New Roman" w:eastAsia="Times New Roman" w:hAnsi="Times New Roman" w:cs="Times New Roman"/>
                <w:b/>
                <w:color w:val="000000"/>
              </w:rPr>
              <w:t>2018</w:t>
            </w:r>
          </w:p>
        </w:tc>
        <w:tc>
          <w:tcPr>
            <w:tcW w:w="1542" w:type="dxa"/>
            <w:gridSpan w:val="2"/>
            <w:tcBorders>
              <w:top w:val="nil"/>
              <w:left w:val="nil"/>
              <w:bottom w:val="nil"/>
              <w:right w:val="nil"/>
            </w:tcBorders>
            <w:shd w:val="clear" w:color="auto" w:fill="auto"/>
            <w:noWrap/>
            <w:vAlign w:val="bottom"/>
            <w:hideMark/>
          </w:tcPr>
          <w:p w14:paraId="0C767F09" w14:textId="77777777" w:rsidR="000F7C00" w:rsidRPr="004C16CA" w:rsidRDefault="000F7C00" w:rsidP="00211FA3">
            <w:pPr>
              <w:spacing w:after="0" w:line="240" w:lineRule="auto"/>
              <w:jc w:val="right"/>
              <w:rPr>
                <w:rFonts w:ascii="Times New Roman" w:eastAsia="Times New Roman" w:hAnsi="Times New Roman" w:cs="Times New Roman"/>
                <w:color w:val="000000"/>
              </w:rPr>
            </w:pPr>
          </w:p>
        </w:tc>
        <w:tc>
          <w:tcPr>
            <w:tcW w:w="1543" w:type="dxa"/>
            <w:gridSpan w:val="2"/>
            <w:tcBorders>
              <w:top w:val="nil"/>
              <w:left w:val="nil"/>
              <w:bottom w:val="nil"/>
              <w:right w:val="nil"/>
            </w:tcBorders>
            <w:shd w:val="clear" w:color="auto" w:fill="auto"/>
            <w:noWrap/>
            <w:vAlign w:val="bottom"/>
            <w:hideMark/>
          </w:tcPr>
          <w:p w14:paraId="38F4251B" w14:textId="77777777" w:rsidR="000F7C00" w:rsidRPr="004C16CA" w:rsidRDefault="000F7C00" w:rsidP="00211FA3">
            <w:pPr>
              <w:spacing w:after="0" w:line="240" w:lineRule="auto"/>
              <w:jc w:val="right"/>
              <w:rPr>
                <w:rFonts w:ascii="Times New Roman" w:eastAsia="Times New Roman" w:hAnsi="Times New Roman" w:cs="Times New Roman"/>
                <w:sz w:val="20"/>
                <w:szCs w:val="20"/>
              </w:rPr>
            </w:pPr>
          </w:p>
        </w:tc>
        <w:tc>
          <w:tcPr>
            <w:tcW w:w="1543" w:type="dxa"/>
            <w:gridSpan w:val="2"/>
            <w:tcBorders>
              <w:top w:val="nil"/>
              <w:left w:val="nil"/>
              <w:bottom w:val="nil"/>
              <w:right w:val="nil"/>
            </w:tcBorders>
            <w:shd w:val="clear" w:color="auto" w:fill="auto"/>
            <w:noWrap/>
            <w:vAlign w:val="bottom"/>
            <w:hideMark/>
          </w:tcPr>
          <w:p w14:paraId="0940566D" w14:textId="77777777" w:rsidR="000F7C00" w:rsidRPr="004C16CA" w:rsidRDefault="000F7C00" w:rsidP="00211FA3">
            <w:pPr>
              <w:spacing w:after="0" w:line="240" w:lineRule="auto"/>
              <w:jc w:val="right"/>
              <w:rPr>
                <w:rFonts w:ascii="Times New Roman" w:eastAsia="Times New Roman" w:hAnsi="Times New Roman" w:cs="Times New Roman"/>
                <w:sz w:val="20"/>
                <w:szCs w:val="20"/>
              </w:rPr>
            </w:pPr>
          </w:p>
        </w:tc>
        <w:tc>
          <w:tcPr>
            <w:tcW w:w="1543" w:type="dxa"/>
            <w:gridSpan w:val="2"/>
            <w:tcBorders>
              <w:top w:val="nil"/>
              <w:left w:val="nil"/>
              <w:bottom w:val="nil"/>
              <w:right w:val="nil"/>
            </w:tcBorders>
            <w:shd w:val="clear" w:color="auto" w:fill="auto"/>
            <w:noWrap/>
            <w:vAlign w:val="bottom"/>
            <w:hideMark/>
          </w:tcPr>
          <w:p w14:paraId="0440505E" w14:textId="77777777" w:rsidR="000F7C00" w:rsidRPr="004C16CA" w:rsidRDefault="000F7C00" w:rsidP="00211FA3">
            <w:pPr>
              <w:spacing w:after="0" w:line="240" w:lineRule="auto"/>
              <w:jc w:val="right"/>
              <w:rPr>
                <w:rFonts w:ascii="Times New Roman" w:eastAsia="Times New Roman" w:hAnsi="Times New Roman" w:cs="Times New Roman"/>
                <w:sz w:val="20"/>
                <w:szCs w:val="20"/>
              </w:rPr>
            </w:pPr>
          </w:p>
        </w:tc>
        <w:tc>
          <w:tcPr>
            <w:tcW w:w="1543" w:type="dxa"/>
            <w:tcBorders>
              <w:top w:val="nil"/>
              <w:left w:val="nil"/>
              <w:bottom w:val="nil"/>
              <w:right w:val="nil"/>
            </w:tcBorders>
            <w:shd w:val="clear" w:color="auto" w:fill="auto"/>
            <w:noWrap/>
            <w:vAlign w:val="bottom"/>
            <w:hideMark/>
          </w:tcPr>
          <w:p w14:paraId="3257E58A" w14:textId="77777777" w:rsidR="000F7C00" w:rsidRPr="004C16CA" w:rsidRDefault="000F7C00" w:rsidP="00211FA3">
            <w:pPr>
              <w:spacing w:after="0" w:line="240" w:lineRule="auto"/>
              <w:jc w:val="right"/>
              <w:rPr>
                <w:rFonts w:ascii="Times New Roman" w:eastAsia="Times New Roman" w:hAnsi="Times New Roman" w:cs="Times New Roman"/>
                <w:sz w:val="20"/>
                <w:szCs w:val="20"/>
              </w:rPr>
            </w:pPr>
          </w:p>
        </w:tc>
        <w:tc>
          <w:tcPr>
            <w:tcW w:w="1543" w:type="dxa"/>
            <w:gridSpan w:val="3"/>
            <w:tcBorders>
              <w:top w:val="nil"/>
              <w:left w:val="nil"/>
              <w:bottom w:val="nil"/>
              <w:right w:val="nil"/>
            </w:tcBorders>
            <w:shd w:val="clear" w:color="auto" w:fill="auto"/>
            <w:noWrap/>
            <w:vAlign w:val="bottom"/>
            <w:hideMark/>
          </w:tcPr>
          <w:p w14:paraId="710DAC3B" w14:textId="77777777" w:rsidR="000F7C00" w:rsidRPr="004C16CA" w:rsidRDefault="000F7C00" w:rsidP="00211FA3">
            <w:pPr>
              <w:spacing w:after="0" w:line="240" w:lineRule="auto"/>
              <w:jc w:val="right"/>
              <w:rPr>
                <w:rFonts w:ascii="Times New Roman" w:eastAsia="Times New Roman" w:hAnsi="Times New Roman" w:cs="Times New Roman"/>
                <w:sz w:val="20"/>
                <w:szCs w:val="20"/>
              </w:rPr>
            </w:pPr>
          </w:p>
        </w:tc>
        <w:tc>
          <w:tcPr>
            <w:tcW w:w="1543" w:type="dxa"/>
            <w:tcBorders>
              <w:top w:val="nil"/>
              <w:left w:val="nil"/>
              <w:bottom w:val="nil"/>
              <w:right w:val="nil"/>
            </w:tcBorders>
            <w:shd w:val="clear" w:color="auto" w:fill="auto"/>
            <w:noWrap/>
            <w:vAlign w:val="bottom"/>
            <w:hideMark/>
          </w:tcPr>
          <w:p w14:paraId="3495501E" w14:textId="77777777" w:rsidR="000F7C00" w:rsidRPr="004C16CA" w:rsidRDefault="000F7C00" w:rsidP="00211FA3">
            <w:pPr>
              <w:spacing w:after="0" w:line="240" w:lineRule="auto"/>
              <w:jc w:val="right"/>
              <w:rPr>
                <w:rFonts w:ascii="Times New Roman" w:eastAsia="Times New Roman" w:hAnsi="Times New Roman" w:cs="Times New Roman"/>
                <w:sz w:val="20"/>
                <w:szCs w:val="20"/>
              </w:rPr>
            </w:pPr>
          </w:p>
        </w:tc>
      </w:tr>
      <w:tr w:rsidR="000F7C00" w:rsidRPr="004C16CA" w14:paraId="2E41D1C6" w14:textId="77777777" w:rsidTr="00211FA3">
        <w:trPr>
          <w:trHeight w:val="290"/>
        </w:trPr>
        <w:tc>
          <w:tcPr>
            <w:tcW w:w="2160" w:type="dxa"/>
            <w:gridSpan w:val="2"/>
            <w:tcBorders>
              <w:top w:val="nil"/>
              <w:left w:val="nil"/>
              <w:bottom w:val="nil"/>
              <w:right w:val="nil"/>
            </w:tcBorders>
            <w:shd w:val="clear" w:color="auto" w:fill="auto"/>
            <w:noWrap/>
            <w:vAlign w:val="bottom"/>
            <w:hideMark/>
          </w:tcPr>
          <w:p w14:paraId="34821DFF" w14:textId="77777777" w:rsidR="000F7C00" w:rsidRPr="00CE60CE" w:rsidRDefault="000F7C00" w:rsidP="00211FA3">
            <w:pPr>
              <w:spacing w:after="0" w:line="240" w:lineRule="auto"/>
              <w:rPr>
                <w:rFonts w:ascii="Times New Roman" w:eastAsia="Times New Roman" w:hAnsi="Times New Roman" w:cs="Times New Roman"/>
                <w:i/>
                <w:color w:val="000000"/>
              </w:rPr>
            </w:pPr>
            <w:r w:rsidRPr="00CE60CE">
              <w:rPr>
                <w:rFonts w:ascii="Times New Roman" w:eastAsia="Times New Roman" w:hAnsi="Times New Roman" w:cs="Times New Roman"/>
                <w:i/>
                <w:color w:val="000000"/>
              </w:rPr>
              <w:t>Overall</w:t>
            </w:r>
          </w:p>
        </w:tc>
        <w:tc>
          <w:tcPr>
            <w:tcW w:w="1542" w:type="dxa"/>
            <w:gridSpan w:val="2"/>
            <w:tcBorders>
              <w:top w:val="nil"/>
              <w:left w:val="nil"/>
              <w:bottom w:val="nil"/>
              <w:right w:val="nil"/>
            </w:tcBorders>
            <w:shd w:val="clear" w:color="auto" w:fill="auto"/>
            <w:noWrap/>
            <w:vAlign w:val="bottom"/>
            <w:hideMark/>
          </w:tcPr>
          <w:p w14:paraId="7EC57C40"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22,000 </w:t>
            </w:r>
          </w:p>
        </w:tc>
        <w:tc>
          <w:tcPr>
            <w:tcW w:w="1543" w:type="dxa"/>
            <w:gridSpan w:val="2"/>
            <w:tcBorders>
              <w:top w:val="nil"/>
              <w:left w:val="nil"/>
              <w:bottom w:val="nil"/>
              <w:right w:val="nil"/>
            </w:tcBorders>
            <w:shd w:val="clear" w:color="auto" w:fill="auto"/>
            <w:noWrap/>
            <w:vAlign w:val="bottom"/>
            <w:hideMark/>
          </w:tcPr>
          <w:p w14:paraId="793CA16D"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32,000 </w:t>
            </w:r>
          </w:p>
        </w:tc>
        <w:tc>
          <w:tcPr>
            <w:tcW w:w="1543" w:type="dxa"/>
            <w:gridSpan w:val="2"/>
            <w:tcBorders>
              <w:top w:val="nil"/>
              <w:left w:val="nil"/>
              <w:bottom w:val="nil"/>
              <w:right w:val="nil"/>
            </w:tcBorders>
            <w:shd w:val="clear" w:color="auto" w:fill="auto"/>
            <w:noWrap/>
            <w:vAlign w:val="bottom"/>
            <w:hideMark/>
          </w:tcPr>
          <w:p w14:paraId="2609CE4E"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50,000 </w:t>
            </w:r>
          </w:p>
        </w:tc>
        <w:tc>
          <w:tcPr>
            <w:tcW w:w="1543" w:type="dxa"/>
            <w:gridSpan w:val="2"/>
            <w:tcBorders>
              <w:top w:val="nil"/>
              <w:left w:val="nil"/>
              <w:bottom w:val="nil"/>
              <w:right w:val="nil"/>
            </w:tcBorders>
            <w:shd w:val="clear" w:color="auto" w:fill="auto"/>
            <w:noWrap/>
            <w:vAlign w:val="bottom"/>
            <w:hideMark/>
          </w:tcPr>
          <w:p w14:paraId="613C5BFA"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78,000 </w:t>
            </w:r>
          </w:p>
        </w:tc>
        <w:tc>
          <w:tcPr>
            <w:tcW w:w="1543" w:type="dxa"/>
            <w:tcBorders>
              <w:top w:val="nil"/>
              <w:left w:val="nil"/>
              <w:bottom w:val="nil"/>
              <w:right w:val="nil"/>
            </w:tcBorders>
            <w:shd w:val="clear" w:color="auto" w:fill="auto"/>
            <w:noWrap/>
            <w:vAlign w:val="bottom"/>
            <w:hideMark/>
          </w:tcPr>
          <w:p w14:paraId="63A17743"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120,000 </w:t>
            </w:r>
          </w:p>
        </w:tc>
        <w:tc>
          <w:tcPr>
            <w:tcW w:w="1543" w:type="dxa"/>
            <w:gridSpan w:val="3"/>
            <w:tcBorders>
              <w:top w:val="nil"/>
              <w:left w:val="nil"/>
              <w:bottom w:val="nil"/>
              <w:right w:val="nil"/>
            </w:tcBorders>
            <w:shd w:val="clear" w:color="auto" w:fill="auto"/>
            <w:noWrap/>
            <w:vAlign w:val="bottom"/>
            <w:hideMark/>
          </w:tcPr>
          <w:p w14:paraId="44691F54"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320,000 </w:t>
            </w:r>
          </w:p>
        </w:tc>
        <w:tc>
          <w:tcPr>
            <w:tcW w:w="1543" w:type="dxa"/>
            <w:tcBorders>
              <w:top w:val="nil"/>
              <w:left w:val="nil"/>
              <w:bottom w:val="nil"/>
              <w:right w:val="nil"/>
            </w:tcBorders>
            <w:shd w:val="clear" w:color="auto" w:fill="auto"/>
            <w:noWrap/>
            <w:vAlign w:val="bottom"/>
            <w:hideMark/>
          </w:tcPr>
          <w:p w14:paraId="0FE3B921"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0.403</w:t>
            </w:r>
          </w:p>
        </w:tc>
      </w:tr>
      <w:tr w:rsidR="000F7C00" w:rsidRPr="004C16CA" w14:paraId="48076B86" w14:textId="77777777" w:rsidTr="00211FA3">
        <w:trPr>
          <w:trHeight w:val="290"/>
        </w:trPr>
        <w:tc>
          <w:tcPr>
            <w:tcW w:w="2160" w:type="dxa"/>
            <w:gridSpan w:val="2"/>
            <w:tcBorders>
              <w:top w:val="nil"/>
              <w:left w:val="nil"/>
              <w:bottom w:val="nil"/>
              <w:right w:val="nil"/>
            </w:tcBorders>
            <w:shd w:val="clear" w:color="auto" w:fill="auto"/>
            <w:noWrap/>
            <w:vAlign w:val="bottom"/>
            <w:hideMark/>
          </w:tcPr>
          <w:p w14:paraId="2E1967E8" w14:textId="77777777" w:rsidR="000F7C00" w:rsidRPr="004C16CA" w:rsidRDefault="000F7C00" w:rsidP="00211FA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C16CA">
              <w:rPr>
                <w:rFonts w:ascii="Times New Roman" w:eastAsia="Times New Roman" w:hAnsi="Times New Roman" w:cs="Times New Roman"/>
                <w:color w:val="000000"/>
              </w:rPr>
              <w:t>Less than HS</w:t>
            </w:r>
          </w:p>
        </w:tc>
        <w:tc>
          <w:tcPr>
            <w:tcW w:w="1542" w:type="dxa"/>
            <w:gridSpan w:val="2"/>
            <w:tcBorders>
              <w:top w:val="nil"/>
              <w:left w:val="nil"/>
              <w:bottom w:val="nil"/>
              <w:right w:val="nil"/>
            </w:tcBorders>
            <w:shd w:val="clear" w:color="auto" w:fill="auto"/>
            <w:noWrap/>
            <w:vAlign w:val="bottom"/>
            <w:hideMark/>
          </w:tcPr>
          <w:p w14:paraId="1FB3F3FE"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15,000 </w:t>
            </w:r>
          </w:p>
        </w:tc>
        <w:tc>
          <w:tcPr>
            <w:tcW w:w="1543" w:type="dxa"/>
            <w:gridSpan w:val="2"/>
            <w:tcBorders>
              <w:top w:val="nil"/>
              <w:left w:val="nil"/>
              <w:bottom w:val="nil"/>
              <w:right w:val="nil"/>
            </w:tcBorders>
            <w:shd w:val="clear" w:color="auto" w:fill="auto"/>
            <w:noWrap/>
            <w:vAlign w:val="bottom"/>
            <w:hideMark/>
          </w:tcPr>
          <w:p w14:paraId="55A42067"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20,000 </w:t>
            </w:r>
          </w:p>
        </w:tc>
        <w:tc>
          <w:tcPr>
            <w:tcW w:w="1543" w:type="dxa"/>
            <w:gridSpan w:val="2"/>
            <w:tcBorders>
              <w:top w:val="nil"/>
              <w:left w:val="nil"/>
              <w:bottom w:val="nil"/>
              <w:right w:val="nil"/>
            </w:tcBorders>
            <w:shd w:val="clear" w:color="auto" w:fill="auto"/>
            <w:noWrap/>
            <w:vAlign w:val="bottom"/>
            <w:hideMark/>
          </w:tcPr>
          <w:p w14:paraId="147BF40D"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28,000 </w:t>
            </w:r>
          </w:p>
        </w:tc>
        <w:tc>
          <w:tcPr>
            <w:tcW w:w="1543" w:type="dxa"/>
            <w:gridSpan w:val="2"/>
            <w:tcBorders>
              <w:top w:val="nil"/>
              <w:left w:val="nil"/>
              <w:bottom w:val="nil"/>
              <w:right w:val="nil"/>
            </w:tcBorders>
            <w:shd w:val="clear" w:color="auto" w:fill="auto"/>
            <w:noWrap/>
            <w:vAlign w:val="bottom"/>
            <w:hideMark/>
          </w:tcPr>
          <w:p w14:paraId="724E4806"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40,000 </w:t>
            </w:r>
          </w:p>
        </w:tc>
        <w:tc>
          <w:tcPr>
            <w:tcW w:w="1543" w:type="dxa"/>
            <w:tcBorders>
              <w:top w:val="nil"/>
              <w:left w:val="nil"/>
              <w:bottom w:val="nil"/>
              <w:right w:val="nil"/>
            </w:tcBorders>
            <w:shd w:val="clear" w:color="auto" w:fill="auto"/>
            <w:noWrap/>
            <w:vAlign w:val="bottom"/>
            <w:hideMark/>
          </w:tcPr>
          <w:p w14:paraId="402DFBF3"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55,000 </w:t>
            </w:r>
          </w:p>
        </w:tc>
        <w:tc>
          <w:tcPr>
            <w:tcW w:w="1543" w:type="dxa"/>
            <w:gridSpan w:val="3"/>
            <w:tcBorders>
              <w:top w:val="nil"/>
              <w:left w:val="nil"/>
              <w:bottom w:val="nil"/>
              <w:right w:val="nil"/>
            </w:tcBorders>
            <w:shd w:val="clear" w:color="auto" w:fill="auto"/>
            <w:noWrap/>
            <w:vAlign w:val="bottom"/>
            <w:hideMark/>
          </w:tcPr>
          <w:p w14:paraId="3F27772A"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130,000 </w:t>
            </w:r>
          </w:p>
        </w:tc>
        <w:tc>
          <w:tcPr>
            <w:tcW w:w="1543" w:type="dxa"/>
            <w:tcBorders>
              <w:top w:val="nil"/>
              <w:left w:val="nil"/>
              <w:bottom w:val="nil"/>
              <w:right w:val="nil"/>
            </w:tcBorders>
            <w:shd w:val="clear" w:color="auto" w:fill="auto"/>
            <w:noWrap/>
            <w:vAlign w:val="bottom"/>
            <w:hideMark/>
          </w:tcPr>
          <w:p w14:paraId="68135096"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0.328</w:t>
            </w:r>
          </w:p>
        </w:tc>
      </w:tr>
      <w:tr w:rsidR="000F7C00" w:rsidRPr="004C16CA" w14:paraId="32C14F30" w14:textId="77777777" w:rsidTr="00211FA3">
        <w:trPr>
          <w:trHeight w:val="290"/>
        </w:trPr>
        <w:tc>
          <w:tcPr>
            <w:tcW w:w="2160" w:type="dxa"/>
            <w:gridSpan w:val="2"/>
            <w:tcBorders>
              <w:top w:val="nil"/>
              <w:left w:val="nil"/>
              <w:bottom w:val="nil"/>
              <w:right w:val="nil"/>
            </w:tcBorders>
            <w:shd w:val="clear" w:color="auto" w:fill="auto"/>
            <w:noWrap/>
            <w:vAlign w:val="bottom"/>
            <w:hideMark/>
          </w:tcPr>
          <w:p w14:paraId="5FB4D622" w14:textId="77777777" w:rsidR="000F7C00" w:rsidRPr="004C16CA" w:rsidRDefault="000F7C00" w:rsidP="00211FA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C16CA">
              <w:rPr>
                <w:rFonts w:ascii="Times New Roman" w:eastAsia="Times New Roman" w:hAnsi="Times New Roman" w:cs="Times New Roman"/>
                <w:color w:val="000000"/>
              </w:rPr>
              <w:t>HS Degree</w:t>
            </w:r>
          </w:p>
        </w:tc>
        <w:tc>
          <w:tcPr>
            <w:tcW w:w="1542" w:type="dxa"/>
            <w:gridSpan w:val="2"/>
            <w:tcBorders>
              <w:top w:val="nil"/>
              <w:left w:val="nil"/>
              <w:bottom w:val="nil"/>
              <w:right w:val="nil"/>
            </w:tcBorders>
            <w:shd w:val="clear" w:color="auto" w:fill="auto"/>
            <w:noWrap/>
            <w:vAlign w:val="bottom"/>
            <w:hideMark/>
          </w:tcPr>
          <w:p w14:paraId="3787CA1E"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20,000 </w:t>
            </w:r>
          </w:p>
        </w:tc>
        <w:tc>
          <w:tcPr>
            <w:tcW w:w="1543" w:type="dxa"/>
            <w:gridSpan w:val="2"/>
            <w:tcBorders>
              <w:top w:val="nil"/>
              <w:left w:val="nil"/>
              <w:bottom w:val="nil"/>
              <w:right w:val="nil"/>
            </w:tcBorders>
            <w:shd w:val="clear" w:color="auto" w:fill="auto"/>
            <w:noWrap/>
            <w:vAlign w:val="bottom"/>
            <w:hideMark/>
          </w:tcPr>
          <w:p w14:paraId="6F61ACB9"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27,700 </w:t>
            </w:r>
          </w:p>
        </w:tc>
        <w:tc>
          <w:tcPr>
            <w:tcW w:w="1543" w:type="dxa"/>
            <w:gridSpan w:val="2"/>
            <w:tcBorders>
              <w:top w:val="nil"/>
              <w:left w:val="nil"/>
              <w:bottom w:val="nil"/>
              <w:right w:val="nil"/>
            </w:tcBorders>
            <w:shd w:val="clear" w:color="auto" w:fill="auto"/>
            <w:noWrap/>
            <w:vAlign w:val="bottom"/>
            <w:hideMark/>
          </w:tcPr>
          <w:p w14:paraId="112C2E85"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40,000 </w:t>
            </w:r>
          </w:p>
        </w:tc>
        <w:tc>
          <w:tcPr>
            <w:tcW w:w="1543" w:type="dxa"/>
            <w:gridSpan w:val="2"/>
            <w:tcBorders>
              <w:top w:val="nil"/>
              <w:left w:val="nil"/>
              <w:bottom w:val="nil"/>
              <w:right w:val="nil"/>
            </w:tcBorders>
            <w:shd w:val="clear" w:color="auto" w:fill="auto"/>
            <w:noWrap/>
            <w:vAlign w:val="bottom"/>
            <w:hideMark/>
          </w:tcPr>
          <w:p w14:paraId="67015ACA"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57,000 </w:t>
            </w:r>
          </w:p>
        </w:tc>
        <w:tc>
          <w:tcPr>
            <w:tcW w:w="1543" w:type="dxa"/>
            <w:tcBorders>
              <w:top w:val="nil"/>
              <w:left w:val="nil"/>
              <w:bottom w:val="nil"/>
              <w:right w:val="nil"/>
            </w:tcBorders>
            <w:shd w:val="clear" w:color="auto" w:fill="auto"/>
            <w:noWrap/>
            <w:vAlign w:val="bottom"/>
            <w:hideMark/>
          </w:tcPr>
          <w:p w14:paraId="3A04D33F"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80,000 </w:t>
            </w:r>
          </w:p>
        </w:tc>
        <w:tc>
          <w:tcPr>
            <w:tcW w:w="1543" w:type="dxa"/>
            <w:gridSpan w:val="3"/>
            <w:tcBorders>
              <w:top w:val="nil"/>
              <w:left w:val="nil"/>
              <w:bottom w:val="nil"/>
              <w:right w:val="nil"/>
            </w:tcBorders>
            <w:shd w:val="clear" w:color="auto" w:fill="auto"/>
            <w:noWrap/>
            <w:vAlign w:val="bottom"/>
            <w:hideMark/>
          </w:tcPr>
          <w:p w14:paraId="6628E5E3"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170,000 </w:t>
            </w:r>
          </w:p>
        </w:tc>
        <w:tc>
          <w:tcPr>
            <w:tcW w:w="1543" w:type="dxa"/>
            <w:tcBorders>
              <w:top w:val="nil"/>
              <w:left w:val="nil"/>
              <w:bottom w:val="nil"/>
              <w:right w:val="nil"/>
            </w:tcBorders>
            <w:shd w:val="clear" w:color="auto" w:fill="auto"/>
            <w:noWrap/>
            <w:vAlign w:val="bottom"/>
            <w:hideMark/>
          </w:tcPr>
          <w:p w14:paraId="4A0812AD"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0.339</w:t>
            </w:r>
          </w:p>
        </w:tc>
      </w:tr>
      <w:tr w:rsidR="000F7C00" w:rsidRPr="004C16CA" w14:paraId="1CCF411C" w14:textId="77777777" w:rsidTr="00211FA3">
        <w:trPr>
          <w:trHeight w:val="290"/>
        </w:trPr>
        <w:tc>
          <w:tcPr>
            <w:tcW w:w="2160" w:type="dxa"/>
            <w:gridSpan w:val="2"/>
            <w:tcBorders>
              <w:top w:val="nil"/>
              <w:left w:val="nil"/>
              <w:bottom w:val="nil"/>
              <w:right w:val="nil"/>
            </w:tcBorders>
            <w:shd w:val="clear" w:color="auto" w:fill="auto"/>
            <w:noWrap/>
            <w:vAlign w:val="bottom"/>
            <w:hideMark/>
          </w:tcPr>
          <w:p w14:paraId="3D07C432" w14:textId="77777777" w:rsidR="000F7C00" w:rsidRPr="004C16CA" w:rsidRDefault="000F7C00" w:rsidP="00211FA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C16CA">
              <w:rPr>
                <w:rFonts w:ascii="Times New Roman" w:eastAsia="Times New Roman" w:hAnsi="Times New Roman" w:cs="Times New Roman"/>
                <w:color w:val="000000"/>
              </w:rPr>
              <w:t>AA</w:t>
            </w:r>
          </w:p>
        </w:tc>
        <w:tc>
          <w:tcPr>
            <w:tcW w:w="1542" w:type="dxa"/>
            <w:gridSpan w:val="2"/>
            <w:tcBorders>
              <w:top w:val="nil"/>
              <w:left w:val="nil"/>
              <w:bottom w:val="nil"/>
              <w:right w:val="nil"/>
            </w:tcBorders>
            <w:shd w:val="clear" w:color="auto" w:fill="auto"/>
            <w:noWrap/>
            <w:vAlign w:val="bottom"/>
            <w:hideMark/>
          </w:tcPr>
          <w:p w14:paraId="6DFE913F"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24,000 </w:t>
            </w:r>
          </w:p>
        </w:tc>
        <w:tc>
          <w:tcPr>
            <w:tcW w:w="1543" w:type="dxa"/>
            <w:gridSpan w:val="2"/>
            <w:tcBorders>
              <w:top w:val="nil"/>
              <w:left w:val="nil"/>
              <w:bottom w:val="nil"/>
              <w:right w:val="nil"/>
            </w:tcBorders>
            <w:shd w:val="clear" w:color="auto" w:fill="auto"/>
            <w:noWrap/>
            <w:vAlign w:val="bottom"/>
            <w:hideMark/>
          </w:tcPr>
          <w:p w14:paraId="5A170AFB"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31,200 </w:t>
            </w:r>
          </w:p>
        </w:tc>
        <w:tc>
          <w:tcPr>
            <w:tcW w:w="1543" w:type="dxa"/>
            <w:gridSpan w:val="2"/>
            <w:tcBorders>
              <w:top w:val="nil"/>
              <w:left w:val="nil"/>
              <w:bottom w:val="nil"/>
              <w:right w:val="nil"/>
            </w:tcBorders>
            <w:shd w:val="clear" w:color="auto" w:fill="auto"/>
            <w:noWrap/>
            <w:vAlign w:val="bottom"/>
            <w:hideMark/>
          </w:tcPr>
          <w:p w14:paraId="410D2B01"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47,000 </w:t>
            </w:r>
          </w:p>
        </w:tc>
        <w:tc>
          <w:tcPr>
            <w:tcW w:w="1543" w:type="dxa"/>
            <w:gridSpan w:val="2"/>
            <w:tcBorders>
              <w:top w:val="nil"/>
              <w:left w:val="nil"/>
              <w:bottom w:val="nil"/>
              <w:right w:val="nil"/>
            </w:tcBorders>
            <w:shd w:val="clear" w:color="auto" w:fill="auto"/>
            <w:noWrap/>
            <w:vAlign w:val="bottom"/>
            <w:hideMark/>
          </w:tcPr>
          <w:p w14:paraId="3137ADD1"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65,000 </w:t>
            </w:r>
          </w:p>
        </w:tc>
        <w:tc>
          <w:tcPr>
            <w:tcW w:w="1543" w:type="dxa"/>
            <w:tcBorders>
              <w:top w:val="nil"/>
              <w:left w:val="nil"/>
              <w:bottom w:val="nil"/>
              <w:right w:val="nil"/>
            </w:tcBorders>
            <w:shd w:val="clear" w:color="auto" w:fill="auto"/>
            <w:noWrap/>
            <w:vAlign w:val="bottom"/>
            <w:hideMark/>
          </w:tcPr>
          <w:p w14:paraId="4013E658"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90,000 </w:t>
            </w:r>
          </w:p>
        </w:tc>
        <w:tc>
          <w:tcPr>
            <w:tcW w:w="1543" w:type="dxa"/>
            <w:gridSpan w:val="3"/>
            <w:tcBorders>
              <w:top w:val="nil"/>
              <w:left w:val="nil"/>
              <w:bottom w:val="nil"/>
              <w:right w:val="nil"/>
            </w:tcBorders>
            <w:shd w:val="clear" w:color="auto" w:fill="auto"/>
            <w:noWrap/>
            <w:vAlign w:val="bottom"/>
            <w:hideMark/>
          </w:tcPr>
          <w:p w14:paraId="56789961"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175,000 </w:t>
            </w:r>
          </w:p>
        </w:tc>
        <w:tc>
          <w:tcPr>
            <w:tcW w:w="1543" w:type="dxa"/>
            <w:tcBorders>
              <w:top w:val="nil"/>
              <w:left w:val="nil"/>
              <w:bottom w:val="nil"/>
              <w:right w:val="nil"/>
            </w:tcBorders>
            <w:shd w:val="clear" w:color="auto" w:fill="auto"/>
            <w:noWrap/>
            <w:vAlign w:val="bottom"/>
            <w:hideMark/>
          </w:tcPr>
          <w:p w14:paraId="6BA10F27"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0.327</w:t>
            </w:r>
          </w:p>
        </w:tc>
      </w:tr>
      <w:tr w:rsidR="000F7C00" w:rsidRPr="004C16CA" w14:paraId="1C149C2E" w14:textId="77777777" w:rsidTr="00211FA3">
        <w:trPr>
          <w:trHeight w:val="290"/>
        </w:trPr>
        <w:tc>
          <w:tcPr>
            <w:tcW w:w="2160" w:type="dxa"/>
            <w:gridSpan w:val="2"/>
            <w:tcBorders>
              <w:top w:val="nil"/>
              <w:left w:val="nil"/>
              <w:bottom w:val="nil"/>
              <w:right w:val="nil"/>
            </w:tcBorders>
            <w:shd w:val="clear" w:color="auto" w:fill="auto"/>
            <w:noWrap/>
            <w:vAlign w:val="bottom"/>
            <w:hideMark/>
          </w:tcPr>
          <w:p w14:paraId="56017F0D" w14:textId="77777777" w:rsidR="000F7C00" w:rsidRPr="004C16CA" w:rsidRDefault="000F7C00" w:rsidP="00211FA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C16CA">
              <w:rPr>
                <w:rFonts w:ascii="Times New Roman" w:eastAsia="Times New Roman" w:hAnsi="Times New Roman" w:cs="Times New Roman"/>
                <w:color w:val="000000"/>
              </w:rPr>
              <w:t>BA or Greater</w:t>
            </w:r>
          </w:p>
        </w:tc>
        <w:tc>
          <w:tcPr>
            <w:tcW w:w="1542" w:type="dxa"/>
            <w:gridSpan w:val="2"/>
            <w:tcBorders>
              <w:top w:val="nil"/>
              <w:left w:val="nil"/>
              <w:bottom w:val="nil"/>
              <w:right w:val="nil"/>
            </w:tcBorders>
            <w:shd w:val="clear" w:color="auto" w:fill="auto"/>
            <w:noWrap/>
            <w:vAlign w:val="bottom"/>
            <w:hideMark/>
          </w:tcPr>
          <w:p w14:paraId="1273F230"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32,000 </w:t>
            </w:r>
          </w:p>
        </w:tc>
        <w:tc>
          <w:tcPr>
            <w:tcW w:w="1543" w:type="dxa"/>
            <w:gridSpan w:val="2"/>
            <w:tcBorders>
              <w:top w:val="nil"/>
              <w:left w:val="nil"/>
              <w:bottom w:val="nil"/>
              <w:right w:val="nil"/>
            </w:tcBorders>
            <w:shd w:val="clear" w:color="auto" w:fill="auto"/>
            <w:noWrap/>
            <w:vAlign w:val="bottom"/>
            <w:hideMark/>
          </w:tcPr>
          <w:p w14:paraId="051ED476"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47,000 </w:t>
            </w:r>
          </w:p>
        </w:tc>
        <w:tc>
          <w:tcPr>
            <w:tcW w:w="1543" w:type="dxa"/>
            <w:gridSpan w:val="2"/>
            <w:tcBorders>
              <w:top w:val="nil"/>
              <w:left w:val="nil"/>
              <w:bottom w:val="nil"/>
              <w:right w:val="nil"/>
            </w:tcBorders>
            <w:shd w:val="clear" w:color="auto" w:fill="auto"/>
            <w:noWrap/>
            <w:vAlign w:val="bottom"/>
            <w:hideMark/>
          </w:tcPr>
          <w:p w14:paraId="0AC96F1D"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70,000 </w:t>
            </w:r>
          </w:p>
        </w:tc>
        <w:tc>
          <w:tcPr>
            <w:tcW w:w="1543" w:type="dxa"/>
            <w:gridSpan w:val="2"/>
            <w:tcBorders>
              <w:top w:val="nil"/>
              <w:left w:val="nil"/>
              <w:bottom w:val="nil"/>
              <w:right w:val="nil"/>
            </w:tcBorders>
            <w:shd w:val="clear" w:color="auto" w:fill="auto"/>
            <w:noWrap/>
            <w:vAlign w:val="bottom"/>
            <w:hideMark/>
          </w:tcPr>
          <w:p w14:paraId="6CB86082"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100,000 </w:t>
            </w:r>
          </w:p>
        </w:tc>
        <w:tc>
          <w:tcPr>
            <w:tcW w:w="1543" w:type="dxa"/>
            <w:tcBorders>
              <w:top w:val="nil"/>
              <w:left w:val="nil"/>
              <w:bottom w:val="nil"/>
              <w:right w:val="nil"/>
            </w:tcBorders>
            <w:shd w:val="clear" w:color="auto" w:fill="auto"/>
            <w:noWrap/>
            <w:vAlign w:val="bottom"/>
            <w:hideMark/>
          </w:tcPr>
          <w:p w14:paraId="785B452C"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155,000 </w:t>
            </w:r>
          </w:p>
        </w:tc>
        <w:tc>
          <w:tcPr>
            <w:tcW w:w="1543" w:type="dxa"/>
            <w:gridSpan w:val="3"/>
            <w:tcBorders>
              <w:top w:val="nil"/>
              <w:left w:val="nil"/>
              <w:bottom w:val="nil"/>
              <w:right w:val="nil"/>
            </w:tcBorders>
            <w:shd w:val="clear" w:color="auto" w:fill="auto"/>
            <w:noWrap/>
            <w:vAlign w:val="bottom"/>
            <w:hideMark/>
          </w:tcPr>
          <w:p w14:paraId="6079A331"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 xml:space="preserve">      450,000 </w:t>
            </w:r>
          </w:p>
        </w:tc>
        <w:tc>
          <w:tcPr>
            <w:tcW w:w="1543" w:type="dxa"/>
            <w:tcBorders>
              <w:top w:val="nil"/>
              <w:left w:val="nil"/>
              <w:bottom w:val="nil"/>
              <w:right w:val="nil"/>
            </w:tcBorders>
            <w:shd w:val="clear" w:color="auto" w:fill="auto"/>
            <w:noWrap/>
            <w:vAlign w:val="bottom"/>
            <w:hideMark/>
          </w:tcPr>
          <w:p w14:paraId="35767288" w14:textId="77777777" w:rsidR="000F7C00" w:rsidRPr="004C16CA" w:rsidRDefault="000F7C00" w:rsidP="00211FA3">
            <w:pPr>
              <w:spacing w:after="0" w:line="240" w:lineRule="auto"/>
              <w:jc w:val="right"/>
              <w:rPr>
                <w:rFonts w:ascii="Times New Roman" w:eastAsia="Times New Roman" w:hAnsi="Times New Roman" w:cs="Times New Roman"/>
                <w:color w:val="000000"/>
              </w:rPr>
            </w:pPr>
            <w:r w:rsidRPr="004C16CA">
              <w:rPr>
                <w:rFonts w:ascii="Times New Roman" w:eastAsia="Times New Roman" w:hAnsi="Times New Roman" w:cs="Times New Roman"/>
                <w:color w:val="000000"/>
              </w:rPr>
              <w:t>0.387</w:t>
            </w:r>
          </w:p>
        </w:tc>
      </w:tr>
      <w:tr w:rsidR="000F7C00" w:rsidRPr="004C16CA" w14:paraId="4361C6EA" w14:textId="77777777" w:rsidTr="00211FA3">
        <w:trPr>
          <w:trHeight w:val="130"/>
        </w:trPr>
        <w:tc>
          <w:tcPr>
            <w:tcW w:w="1746" w:type="dxa"/>
            <w:tcBorders>
              <w:top w:val="nil"/>
              <w:left w:val="nil"/>
              <w:bottom w:val="nil"/>
              <w:right w:val="nil"/>
            </w:tcBorders>
            <w:shd w:val="clear" w:color="auto" w:fill="auto"/>
            <w:noWrap/>
            <w:vAlign w:val="bottom"/>
            <w:hideMark/>
          </w:tcPr>
          <w:p w14:paraId="5DB86335" w14:textId="77777777" w:rsidR="000F7C00" w:rsidRPr="004C16CA" w:rsidRDefault="000F7C00" w:rsidP="00211FA3">
            <w:pPr>
              <w:spacing w:after="0" w:line="240" w:lineRule="auto"/>
              <w:jc w:val="right"/>
              <w:rPr>
                <w:rFonts w:ascii="Times New Roman" w:eastAsia="Times New Roman" w:hAnsi="Times New Roman" w:cs="Times New Roman"/>
                <w:color w:val="000000"/>
              </w:rPr>
            </w:pPr>
          </w:p>
        </w:tc>
        <w:tc>
          <w:tcPr>
            <w:tcW w:w="1530" w:type="dxa"/>
            <w:gridSpan w:val="2"/>
            <w:tcBorders>
              <w:top w:val="nil"/>
              <w:left w:val="nil"/>
              <w:bottom w:val="nil"/>
              <w:right w:val="nil"/>
            </w:tcBorders>
            <w:shd w:val="clear" w:color="auto" w:fill="auto"/>
            <w:noWrap/>
            <w:vAlign w:val="bottom"/>
            <w:hideMark/>
          </w:tcPr>
          <w:p w14:paraId="05C2C193" w14:textId="77777777" w:rsidR="000F7C00" w:rsidRPr="004C16CA" w:rsidRDefault="000F7C00" w:rsidP="00211FA3">
            <w:pPr>
              <w:spacing w:after="0" w:line="240" w:lineRule="auto"/>
              <w:jc w:val="right"/>
              <w:rPr>
                <w:rFonts w:ascii="Times New Roman" w:eastAsia="Times New Roman" w:hAnsi="Times New Roman" w:cs="Times New Roman"/>
                <w:sz w:val="20"/>
                <w:szCs w:val="20"/>
              </w:rPr>
            </w:pPr>
          </w:p>
        </w:tc>
        <w:tc>
          <w:tcPr>
            <w:tcW w:w="1456" w:type="dxa"/>
            <w:gridSpan w:val="2"/>
            <w:tcBorders>
              <w:top w:val="nil"/>
              <w:left w:val="nil"/>
              <w:bottom w:val="nil"/>
              <w:right w:val="nil"/>
            </w:tcBorders>
            <w:shd w:val="clear" w:color="auto" w:fill="auto"/>
            <w:noWrap/>
            <w:vAlign w:val="bottom"/>
            <w:hideMark/>
          </w:tcPr>
          <w:p w14:paraId="1B88C54C" w14:textId="77777777" w:rsidR="000F7C00" w:rsidRPr="004C16CA" w:rsidRDefault="000F7C00" w:rsidP="00211FA3">
            <w:pPr>
              <w:spacing w:after="0" w:line="240" w:lineRule="auto"/>
              <w:rPr>
                <w:rFonts w:ascii="Times New Roman" w:eastAsia="Times New Roman" w:hAnsi="Times New Roman" w:cs="Times New Roman"/>
                <w:sz w:val="20"/>
                <w:szCs w:val="20"/>
              </w:rPr>
            </w:pPr>
          </w:p>
        </w:tc>
        <w:tc>
          <w:tcPr>
            <w:tcW w:w="1754" w:type="dxa"/>
            <w:gridSpan w:val="2"/>
            <w:tcBorders>
              <w:top w:val="nil"/>
              <w:left w:val="nil"/>
              <w:bottom w:val="nil"/>
              <w:right w:val="nil"/>
            </w:tcBorders>
            <w:shd w:val="clear" w:color="auto" w:fill="auto"/>
            <w:noWrap/>
            <w:vAlign w:val="bottom"/>
            <w:hideMark/>
          </w:tcPr>
          <w:p w14:paraId="6905C47B" w14:textId="77777777" w:rsidR="000F7C00" w:rsidRPr="004C16CA" w:rsidRDefault="000F7C00" w:rsidP="00211FA3">
            <w:pPr>
              <w:spacing w:after="0" w:line="240" w:lineRule="auto"/>
              <w:rPr>
                <w:rFonts w:ascii="Times New Roman" w:eastAsia="Times New Roman" w:hAnsi="Times New Roman" w:cs="Times New Roman"/>
                <w:sz w:val="20"/>
                <w:szCs w:val="20"/>
              </w:rPr>
            </w:pPr>
          </w:p>
        </w:tc>
        <w:tc>
          <w:tcPr>
            <w:tcW w:w="1680" w:type="dxa"/>
            <w:gridSpan w:val="2"/>
            <w:tcBorders>
              <w:top w:val="nil"/>
              <w:left w:val="nil"/>
              <w:bottom w:val="nil"/>
              <w:right w:val="nil"/>
            </w:tcBorders>
            <w:shd w:val="clear" w:color="auto" w:fill="auto"/>
            <w:noWrap/>
            <w:vAlign w:val="bottom"/>
            <w:hideMark/>
          </w:tcPr>
          <w:p w14:paraId="1D4F94A7" w14:textId="77777777" w:rsidR="000F7C00" w:rsidRPr="004C16CA" w:rsidRDefault="000F7C00" w:rsidP="00211FA3">
            <w:pPr>
              <w:spacing w:after="0" w:line="240" w:lineRule="auto"/>
              <w:rPr>
                <w:rFonts w:ascii="Times New Roman" w:eastAsia="Times New Roman" w:hAnsi="Times New Roman" w:cs="Times New Roman"/>
                <w:sz w:val="20"/>
                <w:szCs w:val="20"/>
              </w:rPr>
            </w:pPr>
          </w:p>
        </w:tc>
        <w:tc>
          <w:tcPr>
            <w:tcW w:w="1754" w:type="dxa"/>
            <w:gridSpan w:val="3"/>
            <w:tcBorders>
              <w:top w:val="nil"/>
              <w:left w:val="nil"/>
              <w:bottom w:val="nil"/>
              <w:right w:val="nil"/>
            </w:tcBorders>
            <w:shd w:val="clear" w:color="auto" w:fill="auto"/>
            <w:noWrap/>
            <w:vAlign w:val="bottom"/>
            <w:hideMark/>
          </w:tcPr>
          <w:p w14:paraId="110688B6" w14:textId="77777777" w:rsidR="000F7C00" w:rsidRPr="004C16CA" w:rsidRDefault="000F7C00" w:rsidP="00211FA3">
            <w:pPr>
              <w:spacing w:after="0" w:line="240" w:lineRule="auto"/>
              <w:rPr>
                <w:rFonts w:ascii="Times New Roman" w:eastAsia="Times New Roman" w:hAnsi="Times New Roman" w:cs="Times New Roman"/>
                <w:sz w:val="20"/>
                <w:szCs w:val="20"/>
              </w:rPr>
            </w:pPr>
          </w:p>
        </w:tc>
        <w:tc>
          <w:tcPr>
            <w:tcW w:w="1456" w:type="dxa"/>
            <w:tcBorders>
              <w:top w:val="nil"/>
              <w:left w:val="nil"/>
              <w:bottom w:val="nil"/>
              <w:right w:val="nil"/>
            </w:tcBorders>
            <w:shd w:val="clear" w:color="auto" w:fill="auto"/>
            <w:noWrap/>
            <w:vAlign w:val="bottom"/>
            <w:hideMark/>
          </w:tcPr>
          <w:p w14:paraId="42B770E1" w14:textId="77777777" w:rsidR="000F7C00" w:rsidRPr="004C16CA" w:rsidRDefault="000F7C00" w:rsidP="00211FA3">
            <w:pPr>
              <w:spacing w:after="0" w:line="240" w:lineRule="auto"/>
              <w:rPr>
                <w:rFonts w:ascii="Times New Roman" w:eastAsia="Times New Roman" w:hAnsi="Times New Roman" w:cs="Times New Roman"/>
                <w:sz w:val="20"/>
                <w:szCs w:val="20"/>
              </w:rPr>
            </w:pPr>
          </w:p>
        </w:tc>
        <w:tc>
          <w:tcPr>
            <w:tcW w:w="1584" w:type="dxa"/>
            <w:gridSpan w:val="2"/>
            <w:tcBorders>
              <w:top w:val="nil"/>
              <w:left w:val="nil"/>
              <w:bottom w:val="single" w:sz="4" w:space="0" w:color="auto"/>
              <w:right w:val="nil"/>
            </w:tcBorders>
            <w:shd w:val="clear" w:color="auto" w:fill="auto"/>
            <w:noWrap/>
            <w:vAlign w:val="bottom"/>
            <w:hideMark/>
          </w:tcPr>
          <w:p w14:paraId="12723B83" w14:textId="77777777" w:rsidR="000F7C00" w:rsidRPr="004C16CA" w:rsidRDefault="000F7C00" w:rsidP="00211FA3">
            <w:pPr>
              <w:spacing w:after="0" w:line="240" w:lineRule="auto"/>
              <w:rPr>
                <w:rFonts w:ascii="Times New Roman" w:eastAsia="Times New Roman" w:hAnsi="Times New Roman" w:cs="Times New Roman"/>
                <w:color w:val="000000"/>
              </w:rPr>
            </w:pPr>
            <w:r w:rsidRPr="004C16CA">
              <w:rPr>
                <w:rFonts w:ascii="Times New Roman" w:eastAsia="Times New Roman" w:hAnsi="Times New Roman" w:cs="Times New Roman"/>
                <w:color w:val="000000"/>
              </w:rPr>
              <w:t> </w:t>
            </w:r>
          </w:p>
        </w:tc>
      </w:tr>
      <w:tr w:rsidR="000F7C00" w:rsidRPr="004C16CA" w14:paraId="6B9A3FA3" w14:textId="77777777" w:rsidTr="00211FA3">
        <w:trPr>
          <w:trHeight w:val="810"/>
        </w:trPr>
        <w:tc>
          <w:tcPr>
            <w:tcW w:w="12960" w:type="dxa"/>
            <w:gridSpan w:val="15"/>
            <w:tcBorders>
              <w:top w:val="single" w:sz="4" w:space="0" w:color="auto"/>
              <w:left w:val="nil"/>
              <w:bottom w:val="nil"/>
              <w:right w:val="nil"/>
            </w:tcBorders>
            <w:shd w:val="clear" w:color="auto" w:fill="auto"/>
            <w:hideMark/>
          </w:tcPr>
          <w:p w14:paraId="1918CCF0" w14:textId="77777777" w:rsidR="000F7C00" w:rsidRPr="00293520" w:rsidRDefault="000F7C00" w:rsidP="00211FA3">
            <w:pPr>
              <w:spacing w:before="120" w:after="0" w:line="240" w:lineRule="auto"/>
              <w:rPr>
                <w:rFonts w:ascii="Times New Roman" w:eastAsia="Times New Roman" w:hAnsi="Times New Roman" w:cs="Times New Roman"/>
                <w:color w:val="000000"/>
                <w:sz w:val="20"/>
                <w:szCs w:val="20"/>
              </w:rPr>
            </w:pPr>
            <w:r w:rsidRPr="008640AF">
              <w:rPr>
                <w:rFonts w:ascii="Times New Roman" w:eastAsia="Times New Roman" w:hAnsi="Times New Roman" w:cs="Times New Roman"/>
                <w:i/>
                <w:color w:val="000000"/>
                <w:sz w:val="20"/>
                <w:szCs w:val="20"/>
              </w:rPr>
              <w:t>Note</w:t>
            </w:r>
            <w:r w:rsidRPr="00293520">
              <w:rPr>
                <w:rFonts w:ascii="Times New Roman" w:eastAsia="Times New Roman" w:hAnsi="Times New Roman" w:cs="Times New Roman"/>
                <w:color w:val="000000"/>
                <w:sz w:val="20"/>
                <w:szCs w:val="20"/>
              </w:rPr>
              <w:t xml:space="preserve">: Statistics </w:t>
            </w:r>
            <w:proofErr w:type="gramStart"/>
            <w:r w:rsidRPr="00293520">
              <w:rPr>
                <w:rFonts w:ascii="Times New Roman" w:eastAsia="Times New Roman" w:hAnsi="Times New Roman" w:cs="Times New Roman"/>
                <w:color w:val="000000"/>
                <w:sz w:val="20"/>
                <w:szCs w:val="20"/>
              </w:rPr>
              <w:t>are calculated</w:t>
            </w:r>
            <w:proofErr w:type="gramEnd"/>
            <w:r w:rsidRPr="00293520">
              <w:rPr>
                <w:rFonts w:ascii="Times New Roman" w:eastAsia="Times New Roman" w:hAnsi="Times New Roman" w:cs="Times New Roman"/>
                <w:color w:val="000000"/>
                <w:sz w:val="20"/>
                <w:szCs w:val="20"/>
              </w:rPr>
              <w:t xml:space="preserve"> for civilian men and women ages 25 to 54. Earnings are defined as the sum of annual wage, salary, and positive business income, adjusted for inflation (to 2018 dollars) using the personal consumption expenditures (PCE) deflator of the Bureau of Economic Analysis. Employment </w:t>
            </w:r>
            <w:proofErr w:type="gramStart"/>
            <w:r w:rsidRPr="00293520">
              <w:rPr>
                <w:rFonts w:ascii="Times New Roman" w:eastAsia="Times New Roman" w:hAnsi="Times New Roman" w:cs="Times New Roman"/>
                <w:color w:val="000000"/>
                <w:sz w:val="20"/>
                <w:szCs w:val="20"/>
              </w:rPr>
              <w:t>is defined</w:t>
            </w:r>
            <w:proofErr w:type="gramEnd"/>
            <w:r w:rsidRPr="00293520">
              <w:rPr>
                <w:rFonts w:ascii="Times New Roman" w:eastAsia="Times New Roman" w:hAnsi="Times New Roman" w:cs="Times New Roman"/>
                <w:color w:val="000000"/>
                <w:sz w:val="20"/>
                <w:szCs w:val="20"/>
              </w:rPr>
              <w:t xml:space="preserve"> as having positive earnings in the reference year, and full-time, full-year workers are those working at least 50 weeks in the previous calendar year and at least 35 hours usually worked per week.</w:t>
            </w:r>
            <w:r>
              <w:rPr>
                <w:rFonts w:ascii="Times New Roman" w:eastAsia="Times New Roman" w:hAnsi="Times New Roman" w:cs="Times New Roman"/>
                <w:color w:val="000000"/>
                <w:sz w:val="20"/>
                <w:szCs w:val="20"/>
              </w:rPr>
              <w:t xml:space="preserve"> See text for description of education categories.</w:t>
            </w:r>
          </w:p>
          <w:p w14:paraId="677AC311" w14:textId="4F3AE073" w:rsidR="000F7C00" w:rsidRPr="004C16CA" w:rsidRDefault="000F7C00" w:rsidP="00211FA3">
            <w:pPr>
              <w:spacing w:before="120" w:after="0" w:line="240" w:lineRule="auto"/>
              <w:rPr>
                <w:rFonts w:ascii="Times New Roman" w:eastAsia="Times New Roman" w:hAnsi="Times New Roman" w:cs="Times New Roman"/>
                <w:color w:val="000000"/>
                <w:sz w:val="20"/>
                <w:szCs w:val="20"/>
              </w:rPr>
            </w:pPr>
            <w:r w:rsidRPr="00876B37">
              <w:rPr>
                <w:rFonts w:ascii="Times New Roman" w:eastAsia="Times New Roman" w:hAnsi="Times New Roman" w:cs="Times New Roman"/>
                <w:i/>
                <w:color w:val="000000"/>
                <w:sz w:val="20"/>
                <w:szCs w:val="20"/>
              </w:rPr>
              <w:t>Source</w:t>
            </w:r>
            <w:r w:rsidRPr="00293520">
              <w:rPr>
                <w:rFonts w:ascii="Times New Roman" w:eastAsia="Times New Roman" w:hAnsi="Times New Roman" w:cs="Times New Roman"/>
                <w:color w:val="000000"/>
                <w:sz w:val="20"/>
                <w:szCs w:val="20"/>
              </w:rPr>
              <w:t>: Authors’ calculations of March Current Population Survey 1980 and 2019 (Flood et al., 2019</w:t>
            </w:r>
            <w:r w:rsidR="00E46A94" w:rsidRPr="00293520">
              <w:rPr>
                <w:rFonts w:ascii="Times New Roman" w:eastAsia="Times New Roman" w:hAnsi="Times New Roman" w:cs="Times New Roman"/>
                <w:color w:val="000000"/>
                <w:sz w:val="20"/>
                <w:szCs w:val="20"/>
              </w:rPr>
              <w:t>).</w:t>
            </w:r>
            <w:r w:rsidRPr="004C16CA">
              <w:rPr>
                <w:rFonts w:ascii="Times New Roman" w:eastAsia="Times New Roman" w:hAnsi="Times New Roman" w:cs="Times New Roman"/>
                <w:color w:val="000000"/>
                <w:sz w:val="20"/>
                <w:szCs w:val="20"/>
              </w:rPr>
              <w:t xml:space="preserve"> </w:t>
            </w:r>
          </w:p>
        </w:tc>
      </w:tr>
    </w:tbl>
    <w:p w14:paraId="17882F9A" w14:textId="77777777" w:rsidR="000F7C00" w:rsidRDefault="000F7C00" w:rsidP="000F7C00">
      <w:pPr>
        <w:rPr>
          <w:rFonts w:ascii="Times New Roman" w:hAnsi="Times New Roman" w:cs="Times New Roman"/>
        </w:rPr>
        <w:sectPr w:rsidR="000F7C00" w:rsidSect="00BF5375">
          <w:pgSz w:w="15840" w:h="12240" w:orient="landscape"/>
          <w:pgMar w:top="1080" w:right="1080" w:bottom="1080" w:left="1080" w:header="720" w:footer="720" w:gutter="0"/>
          <w:cols w:space="720"/>
          <w:docGrid w:linePitch="360"/>
        </w:sectPr>
      </w:pPr>
    </w:p>
    <w:tbl>
      <w:tblPr>
        <w:tblW w:w="12960" w:type="dxa"/>
        <w:tblLayout w:type="fixed"/>
        <w:tblLook w:val="04A0" w:firstRow="1" w:lastRow="0" w:firstColumn="1" w:lastColumn="0" w:noHBand="0" w:noVBand="1"/>
      </w:tblPr>
      <w:tblGrid>
        <w:gridCol w:w="3916"/>
        <w:gridCol w:w="956"/>
        <w:gridCol w:w="268"/>
        <w:gridCol w:w="688"/>
        <w:gridCol w:w="536"/>
        <w:gridCol w:w="780"/>
        <w:gridCol w:w="445"/>
        <w:gridCol w:w="840"/>
        <w:gridCol w:w="384"/>
        <w:gridCol w:w="947"/>
        <w:gridCol w:w="277"/>
        <w:gridCol w:w="1225"/>
        <w:gridCol w:w="1698"/>
      </w:tblGrid>
      <w:tr w:rsidR="000F7C00" w:rsidRPr="0097721A" w14:paraId="5D9963A5" w14:textId="77777777" w:rsidTr="00211FA3">
        <w:trPr>
          <w:trHeight w:val="290"/>
        </w:trPr>
        <w:tc>
          <w:tcPr>
            <w:tcW w:w="12960" w:type="dxa"/>
            <w:gridSpan w:val="13"/>
            <w:tcBorders>
              <w:top w:val="nil"/>
              <w:left w:val="nil"/>
              <w:bottom w:val="single" w:sz="4" w:space="0" w:color="auto"/>
              <w:right w:val="nil"/>
            </w:tcBorders>
            <w:shd w:val="clear" w:color="auto" w:fill="auto"/>
            <w:noWrap/>
            <w:vAlign w:val="bottom"/>
            <w:hideMark/>
          </w:tcPr>
          <w:p w14:paraId="5E96E343" w14:textId="77777777" w:rsidR="000F7C00" w:rsidRPr="00C07E62" w:rsidRDefault="000F7C00" w:rsidP="00211FA3">
            <w:pPr>
              <w:spacing w:after="0" w:line="240" w:lineRule="auto"/>
              <w:rPr>
                <w:rFonts w:ascii="Times New Roman" w:eastAsia="Times New Roman" w:hAnsi="Times New Roman" w:cs="Times New Roman"/>
                <w:b/>
                <w:bCs/>
                <w:color w:val="000000"/>
                <w:sz w:val="24"/>
                <w:szCs w:val="24"/>
              </w:rPr>
            </w:pPr>
            <w:r w:rsidRPr="00C07E62">
              <w:rPr>
                <w:rFonts w:ascii="Times New Roman" w:hAnsi="Times New Roman" w:cs="Times New Roman"/>
                <w:sz w:val="24"/>
                <w:szCs w:val="24"/>
              </w:rPr>
              <w:lastRenderedPageBreak/>
              <w:t xml:space="preserve"> </w:t>
            </w:r>
            <w:r w:rsidRPr="00C07E62">
              <w:rPr>
                <w:rFonts w:ascii="Times New Roman" w:eastAsia="Times New Roman" w:hAnsi="Times New Roman" w:cs="Times New Roman"/>
                <w:b/>
                <w:bCs/>
                <w:color w:val="000000"/>
                <w:sz w:val="24"/>
                <w:szCs w:val="24"/>
              </w:rPr>
              <w:t>Table A.2: Observed and Simulated earnings ratios: Full-Time, Full-Year Workers: No Relative Wage Effects</w:t>
            </w:r>
          </w:p>
        </w:tc>
      </w:tr>
      <w:tr w:rsidR="000F7C00" w:rsidRPr="0097721A" w14:paraId="52EEBC23" w14:textId="77777777" w:rsidTr="00211FA3">
        <w:trPr>
          <w:trHeight w:val="850"/>
        </w:trPr>
        <w:tc>
          <w:tcPr>
            <w:tcW w:w="3916" w:type="dxa"/>
            <w:tcBorders>
              <w:top w:val="nil"/>
              <w:left w:val="nil"/>
              <w:bottom w:val="single" w:sz="4" w:space="0" w:color="auto"/>
              <w:right w:val="nil"/>
            </w:tcBorders>
            <w:shd w:val="clear" w:color="auto" w:fill="auto"/>
            <w:noWrap/>
            <w:vAlign w:val="bottom"/>
            <w:hideMark/>
          </w:tcPr>
          <w:p w14:paraId="609096C4" w14:textId="77777777" w:rsidR="000F7C00" w:rsidRPr="00C07E62" w:rsidRDefault="000F7C00" w:rsidP="00211FA3">
            <w:pPr>
              <w:spacing w:after="0" w:line="240" w:lineRule="auto"/>
              <w:rPr>
                <w:rFonts w:ascii="Times New Roman" w:eastAsia="Times New Roman" w:hAnsi="Times New Roman" w:cs="Times New Roman"/>
                <w:b/>
                <w:bCs/>
                <w:color w:val="000000"/>
                <w:sz w:val="24"/>
                <w:szCs w:val="24"/>
              </w:rPr>
            </w:pPr>
            <w:r w:rsidRPr="00C07E62">
              <w:rPr>
                <w:rFonts w:ascii="Times New Roman" w:eastAsia="Times New Roman" w:hAnsi="Times New Roman" w:cs="Times New Roman"/>
                <w:b/>
                <w:bCs/>
                <w:color w:val="000000"/>
                <w:sz w:val="24"/>
                <w:szCs w:val="24"/>
              </w:rPr>
              <w:t> </w:t>
            </w:r>
          </w:p>
        </w:tc>
        <w:tc>
          <w:tcPr>
            <w:tcW w:w="1224" w:type="dxa"/>
            <w:gridSpan w:val="2"/>
            <w:tcBorders>
              <w:top w:val="nil"/>
              <w:left w:val="nil"/>
              <w:bottom w:val="single" w:sz="4" w:space="0" w:color="auto"/>
              <w:right w:val="nil"/>
            </w:tcBorders>
            <w:shd w:val="clear" w:color="auto" w:fill="auto"/>
            <w:noWrap/>
            <w:vAlign w:val="bottom"/>
            <w:hideMark/>
          </w:tcPr>
          <w:p w14:paraId="25F4D7A3" w14:textId="77777777" w:rsidR="000F7C00" w:rsidRPr="00C07E62" w:rsidRDefault="000F7C00" w:rsidP="00211FA3">
            <w:pPr>
              <w:spacing w:after="0" w:line="240" w:lineRule="auto"/>
              <w:jc w:val="right"/>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r50/10</w:t>
            </w:r>
          </w:p>
        </w:tc>
        <w:tc>
          <w:tcPr>
            <w:tcW w:w="1224" w:type="dxa"/>
            <w:gridSpan w:val="2"/>
            <w:tcBorders>
              <w:top w:val="nil"/>
              <w:left w:val="nil"/>
              <w:bottom w:val="single" w:sz="4" w:space="0" w:color="auto"/>
              <w:right w:val="nil"/>
            </w:tcBorders>
            <w:shd w:val="clear" w:color="auto" w:fill="auto"/>
            <w:noWrap/>
            <w:vAlign w:val="bottom"/>
            <w:hideMark/>
          </w:tcPr>
          <w:p w14:paraId="3D015A69" w14:textId="77777777" w:rsidR="000F7C00" w:rsidRPr="00C07E62" w:rsidRDefault="000F7C00" w:rsidP="00211FA3">
            <w:pPr>
              <w:spacing w:after="0" w:line="240" w:lineRule="auto"/>
              <w:jc w:val="right"/>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r90/10</w:t>
            </w:r>
          </w:p>
        </w:tc>
        <w:tc>
          <w:tcPr>
            <w:tcW w:w="1225" w:type="dxa"/>
            <w:gridSpan w:val="2"/>
            <w:tcBorders>
              <w:top w:val="nil"/>
              <w:left w:val="nil"/>
              <w:bottom w:val="single" w:sz="4" w:space="0" w:color="auto"/>
              <w:right w:val="nil"/>
            </w:tcBorders>
            <w:shd w:val="clear" w:color="auto" w:fill="auto"/>
            <w:noWrap/>
            <w:vAlign w:val="bottom"/>
            <w:hideMark/>
          </w:tcPr>
          <w:p w14:paraId="77F651F2" w14:textId="77777777" w:rsidR="000F7C00" w:rsidRPr="00C07E62" w:rsidRDefault="000F7C00" w:rsidP="00211FA3">
            <w:pPr>
              <w:spacing w:after="0" w:line="240" w:lineRule="auto"/>
              <w:jc w:val="right"/>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r50/25</w:t>
            </w:r>
          </w:p>
        </w:tc>
        <w:tc>
          <w:tcPr>
            <w:tcW w:w="1224" w:type="dxa"/>
            <w:gridSpan w:val="2"/>
            <w:tcBorders>
              <w:top w:val="nil"/>
              <w:left w:val="nil"/>
              <w:bottom w:val="single" w:sz="4" w:space="0" w:color="auto"/>
              <w:right w:val="nil"/>
            </w:tcBorders>
            <w:shd w:val="clear" w:color="auto" w:fill="auto"/>
            <w:noWrap/>
            <w:vAlign w:val="bottom"/>
            <w:hideMark/>
          </w:tcPr>
          <w:p w14:paraId="3FB2AF05" w14:textId="77777777" w:rsidR="000F7C00" w:rsidRPr="00C07E62" w:rsidRDefault="000F7C00" w:rsidP="00211FA3">
            <w:pPr>
              <w:spacing w:after="0" w:line="240" w:lineRule="auto"/>
              <w:jc w:val="right"/>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r90/25</w:t>
            </w:r>
          </w:p>
        </w:tc>
        <w:tc>
          <w:tcPr>
            <w:tcW w:w="1224" w:type="dxa"/>
            <w:gridSpan w:val="2"/>
            <w:tcBorders>
              <w:top w:val="nil"/>
              <w:left w:val="nil"/>
              <w:bottom w:val="single" w:sz="4" w:space="0" w:color="auto"/>
              <w:right w:val="nil"/>
            </w:tcBorders>
            <w:shd w:val="clear" w:color="auto" w:fill="auto"/>
            <w:noWrap/>
            <w:vAlign w:val="bottom"/>
            <w:hideMark/>
          </w:tcPr>
          <w:p w14:paraId="44F12144" w14:textId="77777777" w:rsidR="000F7C00" w:rsidRPr="00C07E62" w:rsidRDefault="000F7C00" w:rsidP="00211FA3">
            <w:pPr>
              <w:spacing w:after="0" w:line="240" w:lineRule="auto"/>
              <w:jc w:val="right"/>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r90/50</w:t>
            </w:r>
          </w:p>
        </w:tc>
        <w:tc>
          <w:tcPr>
            <w:tcW w:w="1225" w:type="dxa"/>
            <w:tcBorders>
              <w:top w:val="nil"/>
              <w:left w:val="nil"/>
              <w:bottom w:val="single" w:sz="4" w:space="0" w:color="auto"/>
              <w:right w:val="nil"/>
            </w:tcBorders>
            <w:shd w:val="clear" w:color="auto" w:fill="auto"/>
            <w:noWrap/>
            <w:vAlign w:val="bottom"/>
            <w:hideMark/>
          </w:tcPr>
          <w:p w14:paraId="71960E5C" w14:textId="77777777" w:rsidR="000F7C00" w:rsidRPr="00C07E62" w:rsidRDefault="000F7C00" w:rsidP="00211FA3">
            <w:pPr>
              <w:spacing w:after="0" w:line="240" w:lineRule="auto"/>
              <w:jc w:val="right"/>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r99/90</w:t>
            </w:r>
          </w:p>
        </w:tc>
        <w:tc>
          <w:tcPr>
            <w:tcW w:w="1698" w:type="dxa"/>
            <w:tcBorders>
              <w:top w:val="nil"/>
              <w:left w:val="nil"/>
              <w:bottom w:val="single" w:sz="4" w:space="0" w:color="auto"/>
              <w:right w:val="nil"/>
            </w:tcBorders>
            <w:shd w:val="clear" w:color="auto" w:fill="auto"/>
            <w:vAlign w:val="bottom"/>
            <w:hideMark/>
          </w:tcPr>
          <w:p w14:paraId="24B1C567" w14:textId="77777777" w:rsidR="000F7C00" w:rsidRPr="00C07E62" w:rsidRDefault="000F7C00" w:rsidP="00211FA3">
            <w:pPr>
              <w:spacing w:after="0" w:line="240" w:lineRule="auto"/>
              <w:jc w:val="right"/>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Gini Coefficient</w:t>
            </w:r>
          </w:p>
        </w:tc>
      </w:tr>
      <w:tr w:rsidR="000F7C00" w:rsidRPr="0097721A" w14:paraId="61CB69AD" w14:textId="77777777" w:rsidTr="00211FA3">
        <w:trPr>
          <w:trHeight w:val="140"/>
        </w:trPr>
        <w:tc>
          <w:tcPr>
            <w:tcW w:w="3916" w:type="dxa"/>
            <w:tcBorders>
              <w:top w:val="nil"/>
              <w:left w:val="nil"/>
              <w:bottom w:val="nil"/>
              <w:right w:val="nil"/>
            </w:tcBorders>
            <w:shd w:val="clear" w:color="auto" w:fill="auto"/>
            <w:noWrap/>
            <w:vAlign w:val="bottom"/>
            <w:hideMark/>
          </w:tcPr>
          <w:p w14:paraId="2BB45BA4" w14:textId="77777777" w:rsidR="000F7C00" w:rsidRPr="00C07E62" w:rsidRDefault="000F7C00" w:rsidP="00211FA3">
            <w:pPr>
              <w:spacing w:after="0" w:line="240" w:lineRule="auto"/>
              <w:jc w:val="center"/>
              <w:rPr>
                <w:rFonts w:ascii="Times New Roman" w:eastAsia="Times New Roman" w:hAnsi="Times New Roman" w:cs="Times New Roman"/>
                <w:color w:val="000000"/>
                <w:sz w:val="24"/>
                <w:szCs w:val="24"/>
              </w:rPr>
            </w:pPr>
          </w:p>
        </w:tc>
        <w:tc>
          <w:tcPr>
            <w:tcW w:w="1224" w:type="dxa"/>
            <w:gridSpan w:val="2"/>
            <w:tcBorders>
              <w:top w:val="nil"/>
              <w:left w:val="nil"/>
              <w:bottom w:val="nil"/>
              <w:right w:val="nil"/>
            </w:tcBorders>
            <w:shd w:val="clear" w:color="auto" w:fill="auto"/>
            <w:noWrap/>
            <w:vAlign w:val="bottom"/>
            <w:hideMark/>
          </w:tcPr>
          <w:p w14:paraId="412C5CA6" w14:textId="77777777" w:rsidR="000F7C00" w:rsidRPr="00C07E62" w:rsidRDefault="000F7C00" w:rsidP="00211FA3">
            <w:pPr>
              <w:spacing w:after="0" w:line="240" w:lineRule="auto"/>
              <w:jc w:val="right"/>
              <w:rPr>
                <w:rFonts w:ascii="Times New Roman" w:eastAsia="Times New Roman" w:hAnsi="Times New Roman" w:cs="Times New Roman"/>
                <w:sz w:val="24"/>
                <w:szCs w:val="24"/>
              </w:rPr>
            </w:pPr>
          </w:p>
        </w:tc>
        <w:tc>
          <w:tcPr>
            <w:tcW w:w="1224" w:type="dxa"/>
            <w:gridSpan w:val="2"/>
            <w:tcBorders>
              <w:top w:val="nil"/>
              <w:left w:val="nil"/>
              <w:bottom w:val="nil"/>
              <w:right w:val="nil"/>
            </w:tcBorders>
            <w:shd w:val="clear" w:color="auto" w:fill="auto"/>
            <w:noWrap/>
            <w:vAlign w:val="bottom"/>
            <w:hideMark/>
          </w:tcPr>
          <w:p w14:paraId="5DEB1D60" w14:textId="77777777" w:rsidR="000F7C00" w:rsidRPr="00C07E62" w:rsidRDefault="000F7C00" w:rsidP="00211FA3">
            <w:pPr>
              <w:spacing w:after="0" w:line="240" w:lineRule="auto"/>
              <w:jc w:val="right"/>
              <w:rPr>
                <w:rFonts w:ascii="Times New Roman" w:eastAsia="Times New Roman" w:hAnsi="Times New Roman" w:cs="Times New Roman"/>
                <w:sz w:val="24"/>
                <w:szCs w:val="24"/>
              </w:rPr>
            </w:pPr>
          </w:p>
        </w:tc>
        <w:tc>
          <w:tcPr>
            <w:tcW w:w="1225" w:type="dxa"/>
            <w:gridSpan w:val="2"/>
            <w:tcBorders>
              <w:top w:val="nil"/>
              <w:left w:val="nil"/>
              <w:bottom w:val="nil"/>
              <w:right w:val="nil"/>
            </w:tcBorders>
            <w:shd w:val="clear" w:color="auto" w:fill="auto"/>
            <w:noWrap/>
            <w:vAlign w:val="bottom"/>
            <w:hideMark/>
          </w:tcPr>
          <w:p w14:paraId="1FD2DA3F" w14:textId="77777777" w:rsidR="000F7C00" w:rsidRPr="00C07E62" w:rsidRDefault="000F7C00" w:rsidP="00211FA3">
            <w:pPr>
              <w:spacing w:after="0" w:line="240" w:lineRule="auto"/>
              <w:jc w:val="right"/>
              <w:rPr>
                <w:rFonts w:ascii="Times New Roman" w:eastAsia="Times New Roman" w:hAnsi="Times New Roman" w:cs="Times New Roman"/>
                <w:sz w:val="24"/>
                <w:szCs w:val="24"/>
              </w:rPr>
            </w:pPr>
          </w:p>
        </w:tc>
        <w:tc>
          <w:tcPr>
            <w:tcW w:w="1224" w:type="dxa"/>
            <w:gridSpan w:val="2"/>
            <w:tcBorders>
              <w:top w:val="nil"/>
              <w:left w:val="nil"/>
              <w:bottom w:val="nil"/>
              <w:right w:val="nil"/>
            </w:tcBorders>
            <w:shd w:val="clear" w:color="auto" w:fill="auto"/>
            <w:noWrap/>
            <w:vAlign w:val="bottom"/>
            <w:hideMark/>
          </w:tcPr>
          <w:p w14:paraId="770B6BB7" w14:textId="77777777" w:rsidR="000F7C00" w:rsidRPr="00C07E62" w:rsidRDefault="000F7C00" w:rsidP="00211FA3">
            <w:pPr>
              <w:spacing w:after="0" w:line="240" w:lineRule="auto"/>
              <w:jc w:val="right"/>
              <w:rPr>
                <w:rFonts w:ascii="Times New Roman" w:eastAsia="Times New Roman" w:hAnsi="Times New Roman" w:cs="Times New Roman"/>
                <w:sz w:val="24"/>
                <w:szCs w:val="24"/>
              </w:rPr>
            </w:pPr>
          </w:p>
        </w:tc>
        <w:tc>
          <w:tcPr>
            <w:tcW w:w="1224" w:type="dxa"/>
            <w:gridSpan w:val="2"/>
            <w:tcBorders>
              <w:top w:val="nil"/>
              <w:left w:val="nil"/>
              <w:bottom w:val="nil"/>
              <w:right w:val="nil"/>
            </w:tcBorders>
            <w:shd w:val="clear" w:color="auto" w:fill="auto"/>
            <w:noWrap/>
            <w:vAlign w:val="bottom"/>
            <w:hideMark/>
          </w:tcPr>
          <w:p w14:paraId="0C303A9A" w14:textId="77777777" w:rsidR="000F7C00" w:rsidRPr="00C07E62" w:rsidRDefault="000F7C00" w:rsidP="00211FA3">
            <w:pPr>
              <w:spacing w:after="0" w:line="240" w:lineRule="auto"/>
              <w:jc w:val="right"/>
              <w:rPr>
                <w:rFonts w:ascii="Times New Roman" w:eastAsia="Times New Roman" w:hAnsi="Times New Roman" w:cs="Times New Roman"/>
                <w:sz w:val="24"/>
                <w:szCs w:val="24"/>
              </w:rPr>
            </w:pPr>
          </w:p>
        </w:tc>
        <w:tc>
          <w:tcPr>
            <w:tcW w:w="1225" w:type="dxa"/>
            <w:tcBorders>
              <w:top w:val="nil"/>
              <w:left w:val="nil"/>
              <w:bottom w:val="nil"/>
              <w:right w:val="nil"/>
            </w:tcBorders>
            <w:shd w:val="clear" w:color="auto" w:fill="auto"/>
            <w:noWrap/>
            <w:vAlign w:val="bottom"/>
            <w:hideMark/>
          </w:tcPr>
          <w:p w14:paraId="3144E7CF" w14:textId="77777777" w:rsidR="000F7C00" w:rsidRPr="00C07E62" w:rsidRDefault="000F7C00" w:rsidP="00211FA3">
            <w:pPr>
              <w:spacing w:after="0" w:line="240" w:lineRule="auto"/>
              <w:jc w:val="right"/>
              <w:rPr>
                <w:rFonts w:ascii="Times New Roman" w:eastAsia="Times New Roman" w:hAnsi="Times New Roman" w:cs="Times New Roman"/>
                <w:sz w:val="24"/>
                <w:szCs w:val="24"/>
              </w:rPr>
            </w:pPr>
          </w:p>
        </w:tc>
        <w:tc>
          <w:tcPr>
            <w:tcW w:w="1698" w:type="dxa"/>
            <w:tcBorders>
              <w:top w:val="nil"/>
              <w:left w:val="nil"/>
              <w:bottom w:val="nil"/>
              <w:right w:val="nil"/>
            </w:tcBorders>
            <w:shd w:val="clear" w:color="auto" w:fill="auto"/>
            <w:noWrap/>
            <w:vAlign w:val="bottom"/>
            <w:hideMark/>
          </w:tcPr>
          <w:p w14:paraId="3B7DBD14" w14:textId="77777777" w:rsidR="000F7C00" w:rsidRPr="00C07E62" w:rsidRDefault="000F7C00" w:rsidP="00211FA3">
            <w:pPr>
              <w:spacing w:after="0" w:line="240" w:lineRule="auto"/>
              <w:jc w:val="right"/>
              <w:rPr>
                <w:rFonts w:ascii="Times New Roman" w:eastAsia="Times New Roman" w:hAnsi="Times New Roman" w:cs="Times New Roman"/>
                <w:sz w:val="24"/>
                <w:szCs w:val="24"/>
              </w:rPr>
            </w:pPr>
          </w:p>
        </w:tc>
      </w:tr>
      <w:tr w:rsidR="000F7C00" w:rsidRPr="0097721A" w14:paraId="3688CAB6" w14:textId="77777777" w:rsidTr="00211FA3">
        <w:trPr>
          <w:trHeight w:val="290"/>
        </w:trPr>
        <w:tc>
          <w:tcPr>
            <w:tcW w:w="3916" w:type="dxa"/>
            <w:tcBorders>
              <w:top w:val="nil"/>
              <w:left w:val="nil"/>
              <w:bottom w:val="nil"/>
              <w:right w:val="nil"/>
            </w:tcBorders>
            <w:shd w:val="clear" w:color="auto" w:fill="auto"/>
            <w:noWrap/>
            <w:vAlign w:val="bottom"/>
            <w:hideMark/>
          </w:tcPr>
          <w:p w14:paraId="53A201A4" w14:textId="77777777" w:rsidR="000F7C00" w:rsidRPr="00C07E62" w:rsidRDefault="000F7C00" w:rsidP="00211FA3">
            <w:pPr>
              <w:spacing w:after="0" w:line="240" w:lineRule="auto"/>
              <w:rPr>
                <w:rFonts w:ascii="Times New Roman" w:eastAsia="Times New Roman" w:hAnsi="Times New Roman" w:cs="Times New Roman"/>
                <w:b/>
                <w:color w:val="000000"/>
                <w:sz w:val="24"/>
                <w:szCs w:val="24"/>
              </w:rPr>
            </w:pPr>
            <w:r w:rsidRPr="00C07E62">
              <w:rPr>
                <w:rFonts w:ascii="Times New Roman" w:eastAsia="Times New Roman" w:hAnsi="Times New Roman" w:cs="Times New Roman"/>
                <w:b/>
                <w:color w:val="000000"/>
                <w:sz w:val="24"/>
                <w:szCs w:val="24"/>
              </w:rPr>
              <w:t>Panel A: Observed</w:t>
            </w:r>
          </w:p>
        </w:tc>
        <w:tc>
          <w:tcPr>
            <w:tcW w:w="1224" w:type="dxa"/>
            <w:gridSpan w:val="2"/>
            <w:tcBorders>
              <w:top w:val="nil"/>
              <w:left w:val="nil"/>
              <w:bottom w:val="nil"/>
              <w:right w:val="nil"/>
            </w:tcBorders>
            <w:shd w:val="clear" w:color="auto" w:fill="auto"/>
            <w:noWrap/>
            <w:vAlign w:val="bottom"/>
            <w:hideMark/>
          </w:tcPr>
          <w:p w14:paraId="0925CAB8" w14:textId="77777777" w:rsidR="000F7C00" w:rsidRPr="00C07E62" w:rsidRDefault="000F7C00" w:rsidP="00211FA3">
            <w:pPr>
              <w:spacing w:after="0" w:line="240" w:lineRule="auto"/>
              <w:jc w:val="right"/>
              <w:rPr>
                <w:rFonts w:ascii="Times New Roman" w:eastAsia="Times New Roman" w:hAnsi="Times New Roman" w:cs="Times New Roman"/>
                <w:color w:val="000000"/>
                <w:sz w:val="24"/>
                <w:szCs w:val="24"/>
              </w:rPr>
            </w:pPr>
          </w:p>
        </w:tc>
        <w:tc>
          <w:tcPr>
            <w:tcW w:w="1224" w:type="dxa"/>
            <w:gridSpan w:val="2"/>
            <w:tcBorders>
              <w:top w:val="nil"/>
              <w:left w:val="nil"/>
              <w:bottom w:val="nil"/>
              <w:right w:val="nil"/>
            </w:tcBorders>
            <w:shd w:val="clear" w:color="auto" w:fill="auto"/>
            <w:noWrap/>
            <w:vAlign w:val="bottom"/>
            <w:hideMark/>
          </w:tcPr>
          <w:p w14:paraId="09DEBC07" w14:textId="77777777" w:rsidR="000F7C00" w:rsidRPr="00C07E62" w:rsidRDefault="000F7C00" w:rsidP="00211FA3">
            <w:pPr>
              <w:spacing w:after="0" w:line="240" w:lineRule="auto"/>
              <w:jc w:val="right"/>
              <w:rPr>
                <w:rFonts w:ascii="Times New Roman" w:eastAsia="Times New Roman" w:hAnsi="Times New Roman" w:cs="Times New Roman"/>
                <w:sz w:val="24"/>
                <w:szCs w:val="24"/>
              </w:rPr>
            </w:pPr>
          </w:p>
        </w:tc>
        <w:tc>
          <w:tcPr>
            <w:tcW w:w="1225" w:type="dxa"/>
            <w:gridSpan w:val="2"/>
            <w:tcBorders>
              <w:top w:val="nil"/>
              <w:left w:val="nil"/>
              <w:bottom w:val="nil"/>
              <w:right w:val="nil"/>
            </w:tcBorders>
            <w:shd w:val="clear" w:color="auto" w:fill="auto"/>
            <w:vAlign w:val="bottom"/>
            <w:hideMark/>
          </w:tcPr>
          <w:p w14:paraId="40E02173" w14:textId="77777777" w:rsidR="000F7C00" w:rsidRPr="00C07E62" w:rsidRDefault="000F7C00" w:rsidP="00211FA3">
            <w:pPr>
              <w:spacing w:after="0" w:line="240" w:lineRule="auto"/>
              <w:jc w:val="right"/>
              <w:rPr>
                <w:rFonts w:ascii="Times New Roman" w:eastAsia="Times New Roman" w:hAnsi="Times New Roman" w:cs="Times New Roman"/>
                <w:sz w:val="24"/>
                <w:szCs w:val="24"/>
              </w:rPr>
            </w:pPr>
          </w:p>
        </w:tc>
        <w:tc>
          <w:tcPr>
            <w:tcW w:w="1224" w:type="dxa"/>
            <w:gridSpan w:val="2"/>
            <w:tcBorders>
              <w:top w:val="nil"/>
              <w:left w:val="nil"/>
              <w:bottom w:val="nil"/>
              <w:right w:val="nil"/>
            </w:tcBorders>
            <w:shd w:val="clear" w:color="auto" w:fill="auto"/>
            <w:vAlign w:val="bottom"/>
            <w:hideMark/>
          </w:tcPr>
          <w:p w14:paraId="71700880" w14:textId="77777777" w:rsidR="000F7C00" w:rsidRPr="00C07E62" w:rsidRDefault="000F7C00" w:rsidP="00211FA3">
            <w:pPr>
              <w:spacing w:after="0" w:line="240" w:lineRule="auto"/>
              <w:jc w:val="right"/>
              <w:rPr>
                <w:rFonts w:ascii="Times New Roman" w:eastAsia="Times New Roman" w:hAnsi="Times New Roman" w:cs="Times New Roman"/>
                <w:sz w:val="24"/>
                <w:szCs w:val="24"/>
              </w:rPr>
            </w:pPr>
          </w:p>
        </w:tc>
        <w:tc>
          <w:tcPr>
            <w:tcW w:w="1224" w:type="dxa"/>
            <w:gridSpan w:val="2"/>
            <w:tcBorders>
              <w:top w:val="nil"/>
              <w:left w:val="nil"/>
              <w:bottom w:val="nil"/>
              <w:right w:val="nil"/>
            </w:tcBorders>
            <w:shd w:val="clear" w:color="auto" w:fill="auto"/>
            <w:vAlign w:val="bottom"/>
            <w:hideMark/>
          </w:tcPr>
          <w:p w14:paraId="7202FA87" w14:textId="77777777" w:rsidR="000F7C00" w:rsidRPr="00C07E62" w:rsidRDefault="000F7C00" w:rsidP="00211FA3">
            <w:pPr>
              <w:spacing w:after="0" w:line="240" w:lineRule="auto"/>
              <w:jc w:val="right"/>
              <w:rPr>
                <w:rFonts w:ascii="Times New Roman" w:eastAsia="Times New Roman" w:hAnsi="Times New Roman" w:cs="Times New Roman"/>
                <w:sz w:val="24"/>
                <w:szCs w:val="24"/>
              </w:rPr>
            </w:pPr>
          </w:p>
        </w:tc>
        <w:tc>
          <w:tcPr>
            <w:tcW w:w="1225" w:type="dxa"/>
            <w:tcBorders>
              <w:top w:val="nil"/>
              <w:left w:val="nil"/>
              <w:bottom w:val="nil"/>
              <w:right w:val="nil"/>
            </w:tcBorders>
            <w:shd w:val="clear" w:color="auto" w:fill="auto"/>
            <w:vAlign w:val="bottom"/>
            <w:hideMark/>
          </w:tcPr>
          <w:p w14:paraId="7751F9C3" w14:textId="77777777" w:rsidR="000F7C00" w:rsidRPr="00C07E62" w:rsidRDefault="000F7C00" w:rsidP="00211FA3">
            <w:pPr>
              <w:spacing w:after="0" w:line="240" w:lineRule="auto"/>
              <w:jc w:val="right"/>
              <w:rPr>
                <w:rFonts w:ascii="Times New Roman" w:eastAsia="Times New Roman" w:hAnsi="Times New Roman" w:cs="Times New Roman"/>
                <w:sz w:val="24"/>
                <w:szCs w:val="24"/>
              </w:rPr>
            </w:pPr>
          </w:p>
        </w:tc>
        <w:tc>
          <w:tcPr>
            <w:tcW w:w="1698" w:type="dxa"/>
            <w:tcBorders>
              <w:top w:val="nil"/>
              <w:left w:val="nil"/>
              <w:bottom w:val="nil"/>
              <w:right w:val="nil"/>
            </w:tcBorders>
            <w:shd w:val="clear" w:color="auto" w:fill="auto"/>
            <w:noWrap/>
            <w:vAlign w:val="bottom"/>
            <w:hideMark/>
          </w:tcPr>
          <w:p w14:paraId="1EE79D43" w14:textId="77777777" w:rsidR="000F7C00" w:rsidRPr="00C07E62" w:rsidRDefault="000F7C00" w:rsidP="00211FA3">
            <w:pPr>
              <w:spacing w:after="0" w:line="240" w:lineRule="auto"/>
              <w:jc w:val="right"/>
              <w:rPr>
                <w:rFonts w:ascii="Times New Roman" w:eastAsia="Times New Roman" w:hAnsi="Times New Roman" w:cs="Times New Roman"/>
                <w:sz w:val="24"/>
                <w:szCs w:val="24"/>
              </w:rPr>
            </w:pPr>
          </w:p>
        </w:tc>
      </w:tr>
      <w:tr w:rsidR="000F7C00" w:rsidRPr="0097721A" w14:paraId="7E540972" w14:textId="77777777" w:rsidTr="00211FA3">
        <w:trPr>
          <w:trHeight w:val="290"/>
        </w:trPr>
        <w:tc>
          <w:tcPr>
            <w:tcW w:w="3916" w:type="dxa"/>
            <w:tcBorders>
              <w:top w:val="nil"/>
              <w:left w:val="nil"/>
              <w:bottom w:val="nil"/>
              <w:right w:val="nil"/>
            </w:tcBorders>
            <w:shd w:val="clear" w:color="auto" w:fill="auto"/>
            <w:noWrap/>
            <w:vAlign w:val="bottom"/>
            <w:hideMark/>
          </w:tcPr>
          <w:p w14:paraId="38D58AE0" w14:textId="77777777" w:rsidR="000F7C00" w:rsidRPr="00C07E62" w:rsidRDefault="000F7C00" w:rsidP="00211FA3">
            <w:pPr>
              <w:spacing w:after="0" w:line="240" w:lineRule="auto"/>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 xml:space="preserve">     1979</w:t>
            </w:r>
          </w:p>
        </w:tc>
        <w:tc>
          <w:tcPr>
            <w:tcW w:w="1224" w:type="dxa"/>
            <w:gridSpan w:val="2"/>
            <w:tcBorders>
              <w:top w:val="nil"/>
              <w:left w:val="nil"/>
              <w:bottom w:val="nil"/>
              <w:right w:val="nil"/>
            </w:tcBorders>
            <w:shd w:val="clear" w:color="auto" w:fill="auto"/>
            <w:noWrap/>
            <w:vAlign w:val="bottom"/>
            <w:hideMark/>
          </w:tcPr>
          <w:p w14:paraId="733D7648" w14:textId="77777777" w:rsidR="000F7C00" w:rsidRPr="00C07E62" w:rsidRDefault="000F7C00" w:rsidP="00211FA3">
            <w:pPr>
              <w:spacing w:after="0" w:line="240" w:lineRule="auto"/>
              <w:jc w:val="right"/>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2.36</w:t>
            </w:r>
          </w:p>
        </w:tc>
        <w:tc>
          <w:tcPr>
            <w:tcW w:w="1224" w:type="dxa"/>
            <w:gridSpan w:val="2"/>
            <w:tcBorders>
              <w:top w:val="nil"/>
              <w:left w:val="nil"/>
              <w:bottom w:val="nil"/>
              <w:right w:val="nil"/>
            </w:tcBorders>
            <w:shd w:val="clear" w:color="auto" w:fill="auto"/>
            <w:noWrap/>
            <w:vAlign w:val="bottom"/>
            <w:hideMark/>
          </w:tcPr>
          <w:p w14:paraId="17EFB03B" w14:textId="77777777" w:rsidR="000F7C00" w:rsidRPr="00C07E62" w:rsidRDefault="000F7C00" w:rsidP="00211FA3">
            <w:pPr>
              <w:spacing w:after="0" w:line="240" w:lineRule="auto"/>
              <w:jc w:val="right"/>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4.63</w:t>
            </w:r>
          </w:p>
        </w:tc>
        <w:tc>
          <w:tcPr>
            <w:tcW w:w="1225" w:type="dxa"/>
            <w:gridSpan w:val="2"/>
            <w:tcBorders>
              <w:top w:val="nil"/>
              <w:left w:val="nil"/>
              <w:bottom w:val="nil"/>
              <w:right w:val="nil"/>
            </w:tcBorders>
            <w:shd w:val="clear" w:color="auto" w:fill="auto"/>
            <w:noWrap/>
            <w:vAlign w:val="bottom"/>
            <w:hideMark/>
          </w:tcPr>
          <w:p w14:paraId="61487583" w14:textId="77777777" w:rsidR="000F7C00" w:rsidRPr="00C07E62" w:rsidRDefault="000F7C00" w:rsidP="00211FA3">
            <w:pPr>
              <w:spacing w:after="0" w:line="240" w:lineRule="auto"/>
              <w:jc w:val="right"/>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1.49</w:t>
            </w:r>
          </w:p>
        </w:tc>
        <w:tc>
          <w:tcPr>
            <w:tcW w:w="1224" w:type="dxa"/>
            <w:gridSpan w:val="2"/>
            <w:tcBorders>
              <w:top w:val="nil"/>
              <w:left w:val="nil"/>
              <w:bottom w:val="nil"/>
              <w:right w:val="nil"/>
            </w:tcBorders>
            <w:shd w:val="clear" w:color="auto" w:fill="auto"/>
            <w:noWrap/>
            <w:vAlign w:val="bottom"/>
            <w:hideMark/>
          </w:tcPr>
          <w:p w14:paraId="33D117A1" w14:textId="77777777" w:rsidR="000F7C00" w:rsidRPr="00C07E62" w:rsidRDefault="000F7C00" w:rsidP="00211FA3">
            <w:pPr>
              <w:spacing w:after="0" w:line="240" w:lineRule="auto"/>
              <w:jc w:val="right"/>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2.93</w:t>
            </w:r>
          </w:p>
        </w:tc>
        <w:tc>
          <w:tcPr>
            <w:tcW w:w="1224" w:type="dxa"/>
            <w:gridSpan w:val="2"/>
            <w:tcBorders>
              <w:top w:val="nil"/>
              <w:left w:val="nil"/>
              <w:bottom w:val="nil"/>
              <w:right w:val="nil"/>
            </w:tcBorders>
            <w:shd w:val="clear" w:color="auto" w:fill="auto"/>
            <w:noWrap/>
            <w:vAlign w:val="bottom"/>
            <w:hideMark/>
          </w:tcPr>
          <w:p w14:paraId="77844AAF" w14:textId="77777777" w:rsidR="000F7C00" w:rsidRPr="00C07E62" w:rsidRDefault="000F7C00" w:rsidP="00211FA3">
            <w:pPr>
              <w:spacing w:after="0" w:line="240" w:lineRule="auto"/>
              <w:jc w:val="right"/>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1.96</w:t>
            </w:r>
          </w:p>
        </w:tc>
        <w:tc>
          <w:tcPr>
            <w:tcW w:w="1225" w:type="dxa"/>
            <w:tcBorders>
              <w:top w:val="nil"/>
              <w:left w:val="nil"/>
              <w:bottom w:val="nil"/>
              <w:right w:val="nil"/>
            </w:tcBorders>
            <w:shd w:val="clear" w:color="auto" w:fill="auto"/>
            <w:noWrap/>
            <w:vAlign w:val="bottom"/>
            <w:hideMark/>
          </w:tcPr>
          <w:p w14:paraId="29321B8E" w14:textId="0A0DE09A" w:rsidR="000F7C00" w:rsidRPr="00C07E62" w:rsidRDefault="007D17AF" w:rsidP="00211FA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2.15</w:t>
            </w:r>
          </w:p>
        </w:tc>
        <w:tc>
          <w:tcPr>
            <w:tcW w:w="1698" w:type="dxa"/>
            <w:tcBorders>
              <w:top w:val="nil"/>
              <w:left w:val="nil"/>
              <w:bottom w:val="nil"/>
              <w:right w:val="nil"/>
            </w:tcBorders>
            <w:shd w:val="clear" w:color="auto" w:fill="auto"/>
            <w:noWrap/>
            <w:vAlign w:val="bottom"/>
            <w:hideMark/>
          </w:tcPr>
          <w:p w14:paraId="0257D35B" w14:textId="77777777" w:rsidR="000F7C00" w:rsidRPr="00C07E62" w:rsidRDefault="000F7C00" w:rsidP="00211FA3">
            <w:pPr>
              <w:spacing w:after="0" w:line="240" w:lineRule="auto"/>
              <w:jc w:val="right"/>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0.332</w:t>
            </w:r>
          </w:p>
        </w:tc>
      </w:tr>
      <w:tr w:rsidR="000F7C00" w:rsidRPr="0097721A" w14:paraId="0CB297B6" w14:textId="77777777" w:rsidTr="00211FA3">
        <w:trPr>
          <w:trHeight w:val="290"/>
        </w:trPr>
        <w:tc>
          <w:tcPr>
            <w:tcW w:w="3916" w:type="dxa"/>
            <w:tcBorders>
              <w:top w:val="nil"/>
              <w:left w:val="nil"/>
              <w:bottom w:val="nil"/>
              <w:right w:val="nil"/>
            </w:tcBorders>
            <w:shd w:val="clear" w:color="auto" w:fill="auto"/>
            <w:noWrap/>
            <w:vAlign w:val="bottom"/>
            <w:hideMark/>
          </w:tcPr>
          <w:p w14:paraId="78FB4DE1" w14:textId="77777777" w:rsidR="000F7C00" w:rsidRPr="00C07E62" w:rsidRDefault="000F7C00" w:rsidP="00211FA3">
            <w:pPr>
              <w:spacing w:after="0" w:line="240" w:lineRule="auto"/>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 xml:space="preserve">     2018</w:t>
            </w:r>
          </w:p>
        </w:tc>
        <w:tc>
          <w:tcPr>
            <w:tcW w:w="1224" w:type="dxa"/>
            <w:gridSpan w:val="2"/>
            <w:tcBorders>
              <w:top w:val="nil"/>
              <w:left w:val="nil"/>
              <w:bottom w:val="nil"/>
              <w:right w:val="nil"/>
            </w:tcBorders>
            <w:shd w:val="clear" w:color="auto" w:fill="auto"/>
            <w:noWrap/>
            <w:vAlign w:val="bottom"/>
            <w:hideMark/>
          </w:tcPr>
          <w:p w14:paraId="5BE79E0F" w14:textId="77777777" w:rsidR="000F7C00" w:rsidRPr="00C07E62" w:rsidRDefault="000F7C00" w:rsidP="00211FA3">
            <w:pPr>
              <w:spacing w:after="0" w:line="240" w:lineRule="auto"/>
              <w:jc w:val="right"/>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2.27</w:t>
            </w:r>
          </w:p>
        </w:tc>
        <w:tc>
          <w:tcPr>
            <w:tcW w:w="1224" w:type="dxa"/>
            <w:gridSpan w:val="2"/>
            <w:tcBorders>
              <w:top w:val="nil"/>
              <w:left w:val="nil"/>
              <w:bottom w:val="nil"/>
              <w:right w:val="nil"/>
            </w:tcBorders>
            <w:shd w:val="clear" w:color="auto" w:fill="auto"/>
            <w:noWrap/>
            <w:vAlign w:val="bottom"/>
            <w:hideMark/>
          </w:tcPr>
          <w:p w14:paraId="5FA77FE3" w14:textId="77777777" w:rsidR="000F7C00" w:rsidRPr="00C07E62" w:rsidRDefault="000F7C00" w:rsidP="00211FA3">
            <w:pPr>
              <w:spacing w:after="0" w:line="240" w:lineRule="auto"/>
              <w:jc w:val="right"/>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5.45</w:t>
            </w:r>
          </w:p>
        </w:tc>
        <w:tc>
          <w:tcPr>
            <w:tcW w:w="1225" w:type="dxa"/>
            <w:gridSpan w:val="2"/>
            <w:tcBorders>
              <w:top w:val="nil"/>
              <w:left w:val="nil"/>
              <w:bottom w:val="nil"/>
              <w:right w:val="nil"/>
            </w:tcBorders>
            <w:shd w:val="clear" w:color="auto" w:fill="auto"/>
            <w:noWrap/>
            <w:vAlign w:val="bottom"/>
            <w:hideMark/>
          </w:tcPr>
          <w:p w14:paraId="37E20A85" w14:textId="77777777" w:rsidR="000F7C00" w:rsidRPr="00C07E62" w:rsidRDefault="000F7C00" w:rsidP="00211FA3">
            <w:pPr>
              <w:spacing w:after="0" w:line="240" w:lineRule="auto"/>
              <w:jc w:val="right"/>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1.56</w:t>
            </w:r>
          </w:p>
        </w:tc>
        <w:tc>
          <w:tcPr>
            <w:tcW w:w="1224" w:type="dxa"/>
            <w:gridSpan w:val="2"/>
            <w:tcBorders>
              <w:top w:val="nil"/>
              <w:left w:val="nil"/>
              <w:bottom w:val="nil"/>
              <w:right w:val="nil"/>
            </w:tcBorders>
            <w:shd w:val="clear" w:color="auto" w:fill="auto"/>
            <w:noWrap/>
            <w:vAlign w:val="bottom"/>
            <w:hideMark/>
          </w:tcPr>
          <w:p w14:paraId="75BA6F19" w14:textId="77777777" w:rsidR="000F7C00" w:rsidRPr="00C07E62" w:rsidRDefault="000F7C00" w:rsidP="00211FA3">
            <w:pPr>
              <w:spacing w:after="0" w:line="240" w:lineRule="auto"/>
              <w:jc w:val="right"/>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3.75</w:t>
            </w:r>
          </w:p>
        </w:tc>
        <w:tc>
          <w:tcPr>
            <w:tcW w:w="1224" w:type="dxa"/>
            <w:gridSpan w:val="2"/>
            <w:tcBorders>
              <w:top w:val="nil"/>
              <w:left w:val="nil"/>
              <w:bottom w:val="nil"/>
              <w:right w:val="nil"/>
            </w:tcBorders>
            <w:shd w:val="clear" w:color="auto" w:fill="auto"/>
            <w:noWrap/>
            <w:vAlign w:val="bottom"/>
            <w:hideMark/>
          </w:tcPr>
          <w:p w14:paraId="0C4509AC" w14:textId="77777777" w:rsidR="000F7C00" w:rsidRPr="00C07E62" w:rsidRDefault="000F7C00" w:rsidP="00211FA3">
            <w:pPr>
              <w:spacing w:after="0" w:line="240" w:lineRule="auto"/>
              <w:jc w:val="right"/>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2.40</w:t>
            </w:r>
          </w:p>
        </w:tc>
        <w:tc>
          <w:tcPr>
            <w:tcW w:w="1225" w:type="dxa"/>
            <w:tcBorders>
              <w:top w:val="nil"/>
              <w:left w:val="nil"/>
              <w:bottom w:val="nil"/>
              <w:right w:val="nil"/>
            </w:tcBorders>
            <w:shd w:val="clear" w:color="auto" w:fill="auto"/>
            <w:noWrap/>
            <w:vAlign w:val="bottom"/>
            <w:hideMark/>
          </w:tcPr>
          <w:p w14:paraId="4F90BB10" w14:textId="77777777" w:rsidR="000F7C00" w:rsidRPr="00C07E62" w:rsidRDefault="000F7C00" w:rsidP="00211FA3">
            <w:pPr>
              <w:spacing w:after="0" w:line="240" w:lineRule="auto"/>
              <w:jc w:val="right"/>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2.67</w:t>
            </w:r>
          </w:p>
        </w:tc>
        <w:tc>
          <w:tcPr>
            <w:tcW w:w="1698" w:type="dxa"/>
            <w:tcBorders>
              <w:top w:val="nil"/>
              <w:left w:val="nil"/>
              <w:bottom w:val="nil"/>
              <w:right w:val="nil"/>
            </w:tcBorders>
            <w:shd w:val="clear" w:color="auto" w:fill="auto"/>
            <w:noWrap/>
            <w:vAlign w:val="bottom"/>
            <w:hideMark/>
          </w:tcPr>
          <w:p w14:paraId="7E653BC3" w14:textId="77777777" w:rsidR="000F7C00" w:rsidRPr="00C07E62" w:rsidRDefault="000F7C00" w:rsidP="00211FA3">
            <w:pPr>
              <w:spacing w:after="0" w:line="240" w:lineRule="auto"/>
              <w:jc w:val="right"/>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0.403</w:t>
            </w:r>
          </w:p>
        </w:tc>
      </w:tr>
      <w:tr w:rsidR="000F7C00" w:rsidRPr="0097721A" w14:paraId="380AB035" w14:textId="77777777" w:rsidTr="00211FA3">
        <w:trPr>
          <w:trHeight w:val="160"/>
        </w:trPr>
        <w:tc>
          <w:tcPr>
            <w:tcW w:w="3916" w:type="dxa"/>
            <w:tcBorders>
              <w:top w:val="nil"/>
              <w:left w:val="nil"/>
              <w:bottom w:val="nil"/>
              <w:right w:val="nil"/>
            </w:tcBorders>
            <w:shd w:val="clear" w:color="auto" w:fill="auto"/>
            <w:noWrap/>
            <w:vAlign w:val="bottom"/>
            <w:hideMark/>
          </w:tcPr>
          <w:p w14:paraId="3A72DBF0" w14:textId="77777777" w:rsidR="000F7C00" w:rsidRPr="00C07E62" w:rsidRDefault="000F7C00" w:rsidP="00211FA3">
            <w:pPr>
              <w:spacing w:after="0" w:line="240" w:lineRule="auto"/>
              <w:jc w:val="right"/>
              <w:rPr>
                <w:rFonts w:ascii="Times New Roman" w:eastAsia="Times New Roman" w:hAnsi="Times New Roman" w:cs="Times New Roman"/>
                <w:color w:val="000000"/>
                <w:sz w:val="24"/>
                <w:szCs w:val="24"/>
              </w:rPr>
            </w:pPr>
          </w:p>
        </w:tc>
        <w:tc>
          <w:tcPr>
            <w:tcW w:w="1224" w:type="dxa"/>
            <w:gridSpan w:val="2"/>
            <w:tcBorders>
              <w:top w:val="nil"/>
              <w:left w:val="nil"/>
              <w:bottom w:val="nil"/>
              <w:right w:val="nil"/>
            </w:tcBorders>
            <w:shd w:val="clear" w:color="auto" w:fill="auto"/>
            <w:noWrap/>
            <w:vAlign w:val="bottom"/>
            <w:hideMark/>
          </w:tcPr>
          <w:p w14:paraId="636C5037" w14:textId="77777777" w:rsidR="000F7C00" w:rsidRPr="00C07E62" w:rsidRDefault="000F7C00" w:rsidP="00211FA3">
            <w:pPr>
              <w:spacing w:after="0" w:line="240" w:lineRule="auto"/>
              <w:jc w:val="right"/>
              <w:rPr>
                <w:rFonts w:ascii="Times New Roman" w:eastAsia="Times New Roman" w:hAnsi="Times New Roman" w:cs="Times New Roman"/>
                <w:sz w:val="24"/>
                <w:szCs w:val="24"/>
              </w:rPr>
            </w:pPr>
          </w:p>
        </w:tc>
        <w:tc>
          <w:tcPr>
            <w:tcW w:w="1224" w:type="dxa"/>
            <w:gridSpan w:val="2"/>
            <w:tcBorders>
              <w:top w:val="nil"/>
              <w:left w:val="nil"/>
              <w:bottom w:val="nil"/>
              <w:right w:val="nil"/>
            </w:tcBorders>
            <w:shd w:val="clear" w:color="auto" w:fill="auto"/>
            <w:noWrap/>
            <w:vAlign w:val="bottom"/>
            <w:hideMark/>
          </w:tcPr>
          <w:p w14:paraId="4D4E3981" w14:textId="77777777" w:rsidR="000F7C00" w:rsidRPr="00C07E62" w:rsidRDefault="000F7C00" w:rsidP="00211FA3">
            <w:pPr>
              <w:spacing w:after="0" w:line="240" w:lineRule="auto"/>
              <w:jc w:val="right"/>
              <w:rPr>
                <w:rFonts w:ascii="Times New Roman" w:eastAsia="Times New Roman" w:hAnsi="Times New Roman" w:cs="Times New Roman"/>
                <w:sz w:val="24"/>
                <w:szCs w:val="24"/>
              </w:rPr>
            </w:pPr>
          </w:p>
        </w:tc>
        <w:tc>
          <w:tcPr>
            <w:tcW w:w="1225" w:type="dxa"/>
            <w:gridSpan w:val="2"/>
            <w:tcBorders>
              <w:top w:val="nil"/>
              <w:left w:val="nil"/>
              <w:bottom w:val="nil"/>
              <w:right w:val="nil"/>
            </w:tcBorders>
            <w:shd w:val="clear" w:color="auto" w:fill="auto"/>
            <w:noWrap/>
            <w:vAlign w:val="bottom"/>
            <w:hideMark/>
          </w:tcPr>
          <w:p w14:paraId="4D00D671" w14:textId="77777777" w:rsidR="000F7C00" w:rsidRPr="00C07E62" w:rsidRDefault="000F7C00" w:rsidP="00211FA3">
            <w:pPr>
              <w:spacing w:after="0" w:line="240" w:lineRule="auto"/>
              <w:jc w:val="right"/>
              <w:rPr>
                <w:rFonts w:ascii="Times New Roman" w:eastAsia="Times New Roman" w:hAnsi="Times New Roman" w:cs="Times New Roman"/>
                <w:sz w:val="24"/>
                <w:szCs w:val="24"/>
              </w:rPr>
            </w:pPr>
          </w:p>
        </w:tc>
        <w:tc>
          <w:tcPr>
            <w:tcW w:w="1224" w:type="dxa"/>
            <w:gridSpan w:val="2"/>
            <w:tcBorders>
              <w:top w:val="nil"/>
              <w:left w:val="nil"/>
              <w:bottom w:val="nil"/>
              <w:right w:val="nil"/>
            </w:tcBorders>
            <w:shd w:val="clear" w:color="auto" w:fill="auto"/>
            <w:noWrap/>
            <w:vAlign w:val="bottom"/>
            <w:hideMark/>
          </w:tcPr>
          <w:p w14:paraId="342F78F4" w14:textId="77777777" w:rsidR="000F7C00" w:rsidRPr="00C07E62" w:rsidRDefault="000F7C00" w:rsidP="00211FA3">
            <w:pPr>
              <w:spacing w:after="0" w:line="240" w:lineRule="auto"/>
              <w:jc w:val="right"/>
              <w:rPr>
                <w:rFonts w:ascii="Times New Roman" w:eastAsia="Times New Roman" w:hAnsi="Times New Roman" w:cs="Times New Roman"/>
                <w:sz w:val="24"/>
                <w:szCs w:val="24"/>
              </w:rPr>
            </w:pPr>
          </w:p>
        </w:tc>
        <w:tc>
          <w:tcPr>
            <w:tcW w:w="1224" w:type="dxa"/>
            <w:gridSpan w:val="2"/>
            <w:tcBorders>
              <w:top w:val="nil"/>
              <w:left w:val="nil"/>
              <w:bottom w:val="nil"/>
              <w:right w:val="nil"/>
            </w:tcBorders>
            <w:shd w:val="clear" w:color="auto" w:fill="auto"/>
            <w:noWrap/>
            <w:vAlign w:val="bottom"/>
            <w:hideMark/>
          </w:tcPr>
          <w:p w14:paraId="1C40028F" w14:textId="77777777" w:rsidR="000F7C00" w:rsidRPr="00C07E62" w:rsidRDefault="000F7C00" w:rsidP="00211FA3">
            <w:pPr>
              <w:spacing w:after="0" w:line="240" w:lineRule="auto"/>
              <w:jc w:val="right"/>
              <w:rPr>
                <w:rFonts w:ascii="Times New Roman" w:eastAsia="Times New Roman" w:hAnsi="Times New Roman" w:cs="Times New Roman"/>
                <w:sz w:val="24"/>
                <w:szCs w:val="24"/>
              </w:rPr>
            </w:pPr>
          </w:p>
        </w:tc>
        <w:tc>
          <w:tcPr>
            <w:tcW w:w="1225" w:type="dxa"/>
            <w:tcBorders>
              <w:top w:val="nil"/>
              <w:left w:val="nil"/>
              <w:bottom w:val="nil"/>
              <w:right w:val="nil"/>
            </w:tcBorders>
            <w:shd w:val="clear" w:color="auto" w:fill="auto"/>
            <w:noWrap/>
            <w:vAlign w:val="bottom"/>
            <w:hideMark/>
          </w:tcPr>
          <w:p w14:paraId="5EAEDA39" w14:textId="77777777" w:rsidR="000F7C00" w:rsidRPr="00C07E62" w:rsidRDefault="000F7C00" w:rsidP="00211FA3">
            <w:pPr>
              <w:spacing w:after="0" w:line="240" w:lineRule="auto"/>
              <w:jc w:val="right"/>
              <w:rPr>
                <w:rFonts w:ascii="Times New Roman" w:eastAsia="Times New Roman" w:hAnsi="Times New Roman" w:cs="Times New Roman"/>
                <w:sz w:val="24"/>
                <w:szCs w:val="24"/>
              </w:rPr>
            </w:pPr>
          </w:p>
        </w:tc>
        <w:tc>
          <w:tcPr>
            <w:tcW w:w="1698" w:type="dxa"/>
            <w:tcBorders>
              <w:top w:val="nil"/>
              <w:left w:val="nil"/>
              <w:bottom w:val="nil"/>
              <w:right w:val="nil"/>
            </w:tcBorders>
            <w:shd w:val="clear" w:color="auto" w:fill="auto"/>
            <w:noWrap/>
            <w:vAlign w:val="bottom"/>
            <w:hideMark/>
          </w:tcPr>
          <w:p w14:paraId="74F6B856" w14:textId="77777777" w:rsidR="000F7C00" w:rsidRPr="00C07E62" w:rsidRDefault="000F7C00" w:rsidP="00211FA3">
            <w:pPr>
              <w:spacing w:after="0" w:line="240" w:lineRule="auto"/>
              <w:jc w:val="right"/>
              <w:rPr>
                <w:rFonts w:ascii="Times New Roman" w:eastAsia="Times New Roman" w:hAnsi="Times New Roman" w:cs="Times New Roman"/>
                <w:sz w:val="24"/>
                <w:szCs w:val="24"/>
              </w:rPr>
            </w:pPr>
          </w:p>
        </w:tc>
      </w:tr>
      <w:tr w:rsidR="000F7C00" w:rsidRPr="0097721A" w14:paraId="05A0A1D4" w14:textId="77777777" w:rsidTr="00C07E62">
        <w:trPr>
          <w:trHeight w:val="576"/>
        </w:trPr>
        <w:tc>
          <w:tcPr>
            <w:tcW w:w="3916" w:type="dxa"/>
            <w:tcBorders>
              <w:top w:val="nil"/>
              <w:left w:val="nil"/>
              <w:bottom w:val="nil"/>
              <w:right w:val="nil"/>
            </w:tcBorders>
            <w:shd w:val="clear" w:color="auto" w:fill="auto"/>
            <w:noWrap/>
            <w:vAlign w:val="bottom"/>
            <w:hideMark/>
          </w:tcPr>
          <w:p w14:paraId="0D16A990" w14:textId="77777777" w:rsidR="000F7C00" w:rsidRPr="00C07E62" w:rsidRDefault="000F7C00" w:rsidP="00211FA3">
            <w:pPr>
              <w:spacing w:after="0" w:line="240" w:lineRule="auto"/>
              <w:rPr>
                <w:rFonts w:ascii="Times New Roman" w:eastAsia="Times New Roman" w:hAnsi="Times New Roman" w:cs="Times New Roman"/>
                <w:b/>
                <w:color w:val="000000"/>
                <w:sz w:val="24"/>
                <w:szCs w:val="24"/>
              </w:rPr>
            </w:pPr>
            <w:r w:rsidRPr="00C07E62">
              <w:rPr>
                <w:rFonts w:ascii="Times New Roman" w:eastAsia="Times New Roman" w:hAnsi="Times New Roman" w:cs="Times New Roman"/>
                <w:b/>
                <w:color w:val="000000"/>
                <w:sz w:val="24"/>
                <w:szCs w:val="24"/>
              </w:rPr>
              <w:t>Panel B: 2018 Simulations</w:t>
            </w:r>
          </w:p>
        </w:tc>
        <w:tc>
          <w:tcPr>
            <w:tcW w:w="1224" w:type="dxa"/>
            <w:gridSpan w:val="2"/>
            <w:tcBorders>
              <w:top w:val="nil"/>
              <w:left w:val="nil"/>
              <w:bottom w:val="nil"/>
              <w:right w:val="nil"/>
            </w:tcBorders>
            <w:shd w:val="clear" w:color="auto" w:fill="auto"/>
            <w:noWrap/>
            <w:vAlign w:val="bottom"/>
            <w:hideMark/>
          </w:tcPr>
          <w:p w14:paraId="3973B7A7" w14:textId="77777777" w:rsidR="000F7C00" w:rsidRPr="00C07E62" w:rsidRDefault="000F7C00" w:rsidP="00211FA3">
            <w:pPr>
              <w:spacing w:after="0" w:line="240" w:lineRule="auto"/>
              <w:jc w:val="right"/>
              <w:rPr>
                <w:rFonts w:ascii="Times New Roman" w:eastAsia="Times New Roman" w:hAnsi="Times New Roman" w:cs="Times New Roman"/>
                <w:color w:val="000000"/>
                <w:sz w:val="24"/>
                <w:szCs w:val="24"/>
              </w:rPr>
            </w:pPr>
          </w:p>
        </w:tc>
        <w:tc>
          <w:tcPr>
            <w:tcW w:w="1224" w:type="dxa"/>
            <w:gridSpan w:val="2"/>
            <w:tcBorders>
              <w:top w:val="nil"/>
              <w:left w:val="nil"/>
              <w:bottom w:val="nil"/>
              <w:right w:val="nil"/>
            </w:tcBorders>
            <w:shd w:val="clear" w:color="auto" w:fill="auto"/>
            <w:noWrap/>
            <w:vAlign w:val="bottom"/>
            <w:hideMark/>
          </w:tcPr>
          <w:p w14:paraId="2759604E" w14:textId="77777777" w:rsidR="000F7C00" w:rsidRPr="00C07E62" w:rsidRDefault="000F7C00" w:rsidP="00211FA3">
            <w:pPr>
              <w:spacing w:after="0" w:line="240" w:lineRule="auto"/>
              <w:jc w:val="right"/>
              <w:rPr>
                <w:rFonts w:ascii="Times New Roman" w:eastAsia="Times New Roman" w:hAnsi="Times New Roman" w:cs="Times New Roman"/>
                <w:sz w:val="24"/>
                <w:szCs w:val="24"/>
              </w:rPr>
            </w:pPr>
          </w:p>
        </w:tc>
        <w:tc>
          <w:tcPr>
            <w:tcW w:w="1225" w:type="dxa"/>
            <w:gridSpan w:val="2"/>
            <w:tcBorders>
              <w:top w:val="nil"/>
              <w:left w:val="nil"/>
              <w:bottom w:val="nil"/>
              <w:right w:val="nil"/>
            </w:tcBorders>
            <w:shd w:val="clear" w:color="auto" w:fill="auto"/>
            <w:noWrap/>
            <w:vAlign w:val="bottom"/>
            <w:hideMark/>
          </w:tcPr>
          <w:p w14:paraId="2AD053A0" w14:textId="77777777" w:rsidR="000F7C00" w:rsidRPr="00C07E62" w:rsidRDefault="000F7C00" w:rsidP="00211FA3">
            <w:pPr>
              <w:spacing w:after="0" w:line="240" w:lineRule="auto"/>
              <w:jc w:val="right"/>
              <w:rPr>
                <w:rFonts w:ascii="Times New Roman" w:eastAsia="Times New Roman" w:hAnsi="Times New Roman" w:cs="Times New Roman"/>
                <w:sz w:val="24"/>
                <w:szCs w:val="24"/>
              </w:rPr>
            </w:pPr>
          </w:p>
        </w:tc>
        <w:tc>
          <w:tcPr>
            <w:tcW w:w="1224" w:type="dxa"/>
            <w:gridSpan w:val="2"/>
            <w:tcBorders>
              <w:top w:val="nil"/>
              <w:left w:val="nil"/>
              <w:bottom w:val="nil"/>
              <w:right w:val="nil"/>
            </w:tcBorders>
            <w:shd w:val="clear" w:color="auto" w:fill="auto"/>
            <w:noWrap/>
            <w:vAlign w:val="bottom"/>
            <w:hideMark/>
          </w:tcPr>
          <w:p w14:paraId="1524D8F3" w14:textId="77777777" w:rsidR="000F7C00" w:rsidRPr="00C07E62" w:rsidRDefault="000F7C00" w:rsidP="00211FA3">
            <w:pPr>
              <w:spacing w:after="0" w:line="240" w:lineRule="auto"/>
              <w:jc w:val="right"/>
              <w:rPr>
                <w:rFonts w:ascii="Times New Roman" w:eastAsia="Times New Roman" w:hAnsi="Times New Roman" w:cs="Times New Roman"/>
                <w:sz w:val="24"/>
                <w:szCs w:val="24"/>
              </w:rPr>
            </w:pPr>
          </w:p>
        </w:tc>
        <w:tc>
          <w:tcPr>
            <w:tcW w:w="1224" w:type="dxa"/>
            <w:gridSpan w:val="2"/>
            <w:tcBorders>
              <w:top w:val="nil"/>
              <w:left w:val="nil"/>
              <w:bottom w:val="nil"/>
              <w:right w:val="nil"/>
            </w:tcBorders>
            <w:shd w:val="clear" w:color="auto" w:fill="auto"/>
            <w:noWrap/>
            <w:vAlign w:val="bottom"/>
            <w:hideMark/>
          </w:tcPr>
          <w:p w14:paraId="41A3A21E" w14:textId="77777777" w:rsidR="000F7C00" w:rsidRPr="00C07E62" w:rsidRDefault="000F7C00" w:rsidP="00211FA3">
            <w:pPr>
              <w:spacing w:after="0" w:line="240" w:lineRule="auto"/>
              <w:jc w:val="right"/>
              <w:rPr>
                <w:rFonts w:ascii="Times New Roman" w:eastAsia="Times New Roman" w:hAnsi="Times New Roman" w:cs="Times New Roman"/>
                <w:sz w:val="24"/>
                <w:szCs w:val="24"/>
              </w:rPr>
            </w:pPr>
          </w:p>
        </w:tc>
        <w:tc>
          <w:tcPr>
            <w:tcW w:w="1225" w:type="dxa"/>
            <w:tcBorders>
              <w:top w:val="nil"/>
              <w:left w:val="nil"/>
              <w:bottom w:val="nil"/>
              <w:right w:val="nil"/>
            </w:tcBorders>
            <w:shd w:val="clear" w:color="auto" w:fill="auto"/>
            <w:noWrap/>
            <w:vAlign w:val="bottom"/>
            <w:hideMark/>
          </w:tcPr>
          <w:p w14:paraId="3D8F2972" w14:textId="77777777" w:rsidR="000F7C00" w:rsidRPr="00C07E62" w:rsidRDefault="000F7C00" w:rsidP="00211FA3">
            <w:pPr>
              <w:spacing w:after="0" w:line="240" w:lineRule="auto"/>
              <w:jc w:val="right"/>
              <w:rPr>
                <w:rFonts w:ascii="Times New Roman" w:eastAsia="Times New Roman" w:hAnsi="Times New Roman" w:cs="Times New Roman"/>
                <w:sz w:val="24"/>
                <w:szCs w:val="24"/>
              </w:rPr>
            </w:pPr>
          </w:p>
        </w:tc>
        <w:tc>
          <w:tcPr>
            <w:tcW w:w="1698" w:type="dxa"/>
            <w:tcBorders>
              <w:top w:val="nil"/>
              <w:left w:val="nil"/>
              <w:bottom w:val="nil"/>
              <w:right w:val="nil"/>
            </w:tcBorders>
            <w:shd w:val="clear" w:color="auto" w:fill="auto"/>
            <w:noWrap/>
            <w:vAlign w:val="bottom"/>
            <w:hideMark/>
          </w:tcPr>
          <w:p w14:paraId="3835DE5F" w14:textId="77777777" w:rsidR="000F7C00" w:rsidRPr="00C07E62" w:rsidRDefault="000F7C00" w:rsidP="00211FA3">
            <w:pPr>
              <w:spacing w:after="0" w:line="240" w:lineRule="auto"/>
              <w:jc w:val="right"/>
              <w:rPr>
                <w:rFonts w:ascii="Times New Roman" w:eastAsia="Times New Roman" w:hAnsi="Times New Roman" w:cs="Times New Roman"/>
                <w:sz w:val="24"/>
                <w:szCs w:val="24"/>
              </w:rPr>
            </w:pPr>
          </w:p>
        </w:tc>
      </w:tr>
      <w:tr w:rsidR="000F7C00" w:rsidRPr="0097721A" w14:paraId="35336B38" w14:textId="77777777" w:rsidTr="00211FA3">
        <w:trPr>
          <w:trHeight w:val="290"/>
        </w:trPr>
        <w:tc>
          <w:tcPr>
            <w:tcW w:w="3916" w:type="dxa"/>
            <w:tcBorders>
              <w:top w:val="nil"/>
              <w:left w:val="nil"/>
              <w:bottom w:val="nil"/>
              <w:right w:val="nil"/>
            </w:tcBorders>
            <w:shd w:val="clear" w:color="auto" w:fill="auto"/>
            <w:noWrap/>
            <w:vAlign w:val="bottom"/>
            <w:hideMark/>
          </w:tcPr>
          <w:p w14:paraId="7E6D0825" w14:textId="77777777" w:rsidR="000F7C00" w:rsidRPr="00C07E62" w:rsidRDefault="000F7C00" w:rsidP="00211FA3">
            <w:pPr>
              <w:spacing w:after="0" w:line="240" w:lineRule="auto"/>
              <w:rPr>
                <w:rFonts w:ascii="Times New Roman" w:eastAsia="Times New Roman" w:hAnsi="Times New Roman" w:cs="Times New Roman"/>
                <w:i/>
                <w:color w:val="000000"/>
                <w:sz w:val="24"/>
                <w:szCs w:val="24"/>
              </w:rPr>
            </w:pPr>
            <w:r w:rsidRPr="00C07E62">
              <w:rPr>
                <w:rFonts w:ascii="Times New Roman" w:eastAsia="Times New Roman" w:hAnsi="Times New Roman" w:cs="Times New Roman"/>
                <w:i/>
                <w:color w:val="000000"/>
                <w:sz w:val="24"/>
                <w:szCs w:val="24"/>
              </w:rPr>
              <w:t xml:space="preserve">     Distribution Method</w:t>
            </w:r>
          </w:p>
        </w:tc>
        <w:tc>
          <w:tcPr>
            <w:tcW w:w="1224" w:type="dxa"/>
            <w:gridSpan w:val="2"/>
            <w:tcBorders>
              <w:top w:val="nil"/>
              <w:left w:val="nil"/>
              <w:bottom w:val="nil"/>
              <w:right w:val="nil"/>
            </w:tcBorders>
            <w:shd w:val="clear" w:color="auto" w:fill="auto"/>
            <w:noWrap/>
            <w:vAlign w:val="bottom"/>
            <w:hideMark/>
          </w:tcPr>
          <w:p w14:paraId="37DE743E" w14:textId="77777777" w:rsidR="000F7C00" w:rsidRPr="00C07E62" w:rsidRDefault="000F7C00" w:rsidP="00211FA3">
            <w:pPr>
              <w:spacing w:after="0" w:line="240" w:lineRule="auto"/>
              <w:jc w:val="right"/>
              <w:rPr>
                <w:rFonts w:ascii="Times New Roman" w:eastAsia="Times New Roman" w:hAnsi="Times New Roman" w:cs="Times New Roman"/>
                <w:color w:val="000000"/>
                <w:sz w:val="24"/>
                <w:szCs w:val="24"/>
              </w:rPr>
            </w:pPr>
          </w:p>
        </w:tc>
        <w:tc>
          <w:tcPr>
            <w:tcW w:w="1224" w:type="dxa"/>
            <w:gridSpan w:val="2"/>
            <w:tcBorders>
              <w:top w:val="nil"/>
              <w:left w:val="nil"/>
              <w:bottom w:val="nil"/>
              <w:right w:val="nil"/>
            </w:tcBorders>
            <w:shd w:val="clear" w:color="auto" w:fill="auto"/>
            <w:noWrap/>
            <w:vAlign w:val="bottom"/>
            <w:hideMark/>
          </w:tcPr>
          <w:p w14:paraId="6C1E51A7" w14:textId="77777777" w:rsidR="000F7C00" w:rsidRPr="00C07E62" w:rsidRDefault="000F7C00" w:rsidP="00211FA3">
            <w:pPr>
              <w:spacing w:after="0" w:line="240" w:lineRule="auto"/>
              <w:jc w:val="right"/>
              <w:rPr>
                <w:rFonts w:ascii="Times New Roman" w:eastAsia="Times New Roman" w:hAnsi="Times New Roman" w:cs="Times New Roman"/>
                <w:sz w:val="24"/>
                <w:szCs w:val="24"/>
              </w:rPr>
            </w:pPr>
          </w:p>
        </w:tc>
        <w:tc>
          <w:tcPr>
            <w:tcW w:w="1225" w:type="dxa"/>
            <w:gridSpan w:val="2"/>
            <w:tcBorders>
              <w:top w:val="nil"/>
              <w:left w:val="nil"/>
              <w:bottom w:val="nil"/>
              <w:right w:val="nil"/>
            </w:tcBorders>
            <w:shd w:val="clear" w:color="auto" w:fill="auto"/>
            <w:noWrap/>
            <w:vAlign w:val="bottom"/>
            <w:hideMark/>
          </w:tcPr>
          <w:p w14:paraId="622F596B" w14:textId="77777777" w:rsidR="000F7C00" w:rsidRPr="00C07E62" w:rsidRDefault="000F7C00" w:rsidP="00211FA3">
            <w:pPr>
              <w:spacing w:after="0" w:line="240" w:lineRule="auto"/>
              <w:jc w:val="right"/>
              <w:rPr>
                <w:rFonts w:ascii="Times New Roman" w:eastAsia="Times New Roman" w:hAnsi="Times New Roman" w:cs="Times New Roman"/>
                <w:sz w:val="24"/>
                <w:szCs w:val="24"/>
              </w:rPr>
            </w:pPr>
          </w:p>
        </w:tc>
        <w:tc>
          <w:tcPr>
            <w:tcW w:w="1224" w:type="dxa"/>
            <w:gridSpan w:val="2"/>
            <w:tcBorders>
              <w:top w:val="nil"/>
              <w:left w:val="nil"/>
              <w:bottom w:val="nil"/>
              <w:right w:val="nil"/>
            </w:tcBorders>
            <w:shd w:val="clear" w:color="auto" w:fill="auto"/>
            <w:noWrap/>
            <w:vAlign w:val="bottom"/>
            <w:hideMark/>
          </w:tcPr>
          <w:p w14:paraId="4D86517C" w14:textId="77777777" w:rsidR="000F7C00" w:rsidRPr="00C07E62" w:rsidRDefault="000F7C00" w:rsidP="00211FA3">
            <w:pPr>
              <w:spacing w:after="0" w:line="240" w:lineRule="auto"/>
              <w:jc w:val="right"/>
              <w:rPr>
                <w:rFonts w:ascii="Times New Roman" w:eastAsia="Times New Roman" w:hAnsi="Times New Roman" w:cs="Times New Roman"/>
                <w:sz w:val="24"/>
                <w:szCs w:val="24"/>
              </w:rPr>
            </w:pPr>
          </w:p>
        </w:tc>
        <w:tc>
          <w:tcPr>
            <w:tcW w:w="1224" w:type="dxa"/>
            <w:gridSpan w:val="2"/>
            <w:tcBorders>
              <w:top w:val="nil"/>
              <w:left w:val="nil"/>
              <w:bottom w:val="nil"/>
              <w:right w:val="nil"/>
            </w:tcBorders>
            <w:shd w:val="clear" w:color="auto" w:fill="auto"/>
            <w:noWrap/>
            <w:vAlign w:val="bottom"/>
            <w:hideMark/>
          </w:tcPr>
          <w:p w14:paraId="34F0E64D" w14:textId="77777777" w:rsidR="000F7C00" w:rsidRPr="00C07E62" w:rsidRDefault="000F7C00" w:rsidP="00211FA3">
            <w:pPr>
              <w:spacing w:after="0" w:line="240" w:lineRule="auto"/>
              <w:jc w:val="right"/>
              <w:rPr>
                <w:rFonts w:ascii="Times New Roman" w:eastAsia="Times New Roman" w:hAnsi="Times New Roman" w:cs="Times New Roman"/>
                <w:sz w:val="24"/>
                <w:szCs w:val="24"/>
              </w:rPr>
            </w:pPr>
          </w:p>
        </w:tc>
        <w:tc>
          <w:tcPr>
            <w:tcW w:w="1225" w:type="dxa"/>
            <w:tcBorders>
              <w:top w:val="nil"/>
              <w:left w:val="nil"/>
              <w:bottom w:val="nil"/>
              <w:right w:val="nil"/>
            </w:tcBorders>
            <w:shd w:val="clear" w:color="auto" w:fill="auto"/>
            <w:noWrap/>
            <w:vAlign w:val="bottom"/>
            <w:hideMark/>
          </w:tcPr>
          <w:p w14:paraId="18BFF32A" w14:textId="77777777" w:rsidR="000F7C00" w:rsidRPr="00C07E62" w:rsidRDefault="000F7C00" w:rsidP="00211FA3">
            <w:pPr>
              <w:spacing w:after="0" w:line="240" w:lineRule="auto"/>
              <w:jc w:val="right"/>
              <w:rPr>
                <w:rFonts w:ascii="Times New Roman" w:eastAsia="Times New Roman" w:hAnsi="Times New Roman" w:cs="Times New Roman"/>
                <w:sz w:val="24"/>
                <w:szCs w:val="24"/>
              </w:rPr>
            </w:pPr>
          </w:p>
        </w:tc>
        <w:tc>
          <w:tcPr>
            <w:tcW w:w="1698" w:type="dxa"/>
            <w:tcBorders>
              <w:top w:val="nil"/>
              <w:left w:val="nil"/>
              <w:bottom w:val="nil"/>
              <w:right w:val="nil"/>
            </w:tcBorders>
            <w:shd w:val="clear" w:color="auto" w:fill="auto"/>
            <w:noWrap/>
            <w:vAlign w:val="bottom"/>
            <w:hideMark/>
          </w:tcPr>
          <w:p w14:paraId="16E047E9" w14:textId="77777777" w:rsidR="000F7C00" w:rsidRPr="00C07E62" w:rsidRDefault="000F7C00" w:rsidP="00211FA3">
            <w:pPr>
              <w:spacing w:after="0" w:line="240" w:lineRule="auto"/>
              <w:jc w:val="right"/>
              <w:rPr>
                <w:rFonts w:ascii="Times New Roman" w:eastAsia="Times New Roman" w:hAnsi="Times New Roman" w:cs="Times New Roman"/>
                <w:sz w:val="24"/>
                <w:szCs w:val="24"/>
              </w:rPr>
            </w:pPr>
          </w:p>
        </w:tc>
      </w:tr>
      <w:tr w:rsidR="00C86892" w:rsidRPr="0097721A" w14:paraId="63E3457E" w14:textId="77777777" w:rsidTr="00211FA3">
        <w:trPr>
          <w:trHeight w:val="290"/>
        </w:trPr>
        <w:tc>
          <w:tcPr>
            <w:tcW w:w="3916" w:type="dxa"/>
            <w:tcBorders>
              <w:top w:val="nil"/>
              <w:left w:val="nil"/>
              <w:bottom w:val="nil"/>
              <w:right w:val="nil"/>
            </w:tcBorders>
            <w:shd w:val="clear" w:color="auto" w:fill="auto"/>
            <w:noWrap/>
            <w:vAlign w:val="bottom"/>
            <w:hideMark/>
          </w:tcPr>
          <w:p w14:paraId="10A51851" w14:textId="77777777" w:rsidR="00C86892" w:rsidRPr="00C07E62" w:rsidRDefault="00C86892" w:rsidP="00C86892">
            <w:pPr>
              <w:spacing w:after="0" w:line="240" w:lineRule="auto"/>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 xml:space="preserve">        1) Raise BA share to 50%</w:t>
            </w:r>
          </w:p>
        </w:tc>
        <w:tc>
          <w:tcPr>
            <w:tcW w:w="1224" w:type="dxa"/>
            <w:gridSpan w:val="2"/>
            <w:tcBorders>
              <w:top w:val="nil"/>
              <w:left w:val="nil"/>
              <w:bottom w:val="nil"/>
              <w:right w:val="nil"/>
            </w:tcBorders>
            <w:shd w:val="clear" w:color="auto" w:fill="auto"/>
            <w:noWrap/>
            <w:vAlign w:val="center"/>
            <w:hideMark/>
          </w:tcPr>
          <w:p w14:paraId="28A28E27" w14:textId="44AFEA46" w:rsidR="00C86892" w:rsidRPr="00C86892" w:rsidRDefault="00C86892" w:rsidP="00C86892">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2.21</w:t>
            </w:r>
          </w:p>
        </w:tc>
        <w:tc>
          <w:tcPr>
            <w:tcW w:w="1224" w:type="dxa"/>
            <w:gridSpan w:val="2"/>
            <w:tcBorders>
              <w:top w:val="nil"/>
              <w:left w:val="nil"/>
              <w:bottom w:val="nil"/>
              <w:right w:val="nil"/>
            </w:tcBorders>
            <w:shd w:val="clear" w:color="auto" w:fill="auto"/>
            <w:noWrap/>
            <w:vAlign w:val="center"/>
            <w:hideMark/>
          </w:tcPr>
          <w:p w14:paraId="7F3446E1" w14:textId="2BBB55C0" w:rsidR="00C86892" w:rsidRPr="00C86892" w:rsidRDefault="00C86892" w:rsidP="00C86892">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5.43</w:t>
            </w:r>
          </w:p>
        </w:tc>
        <w:tc>
          <w:tcPr>
            <w:tcW w:w="1225" w:type="dxa"/>
            <w:gridSpan w:val="2"/>
            <w:tcBorders>
              <w:top w:val="nil"/>
              <w:left w:val="nil"/>
              <w:bottom w:val="nil"/>
              <w:right w:val="nil"/>
            </w:tcBorders>
            <w:shd w:val="clear" w:color="auto" w:fill="auto"/>
            <w:noWrap/>
            <w:vAlign w:val="center"/>
            <w:hideMark/>
          </w:tcPr>
          <w:p w14:paraId="13902857" w14:textId="4CD563D1" w:rsidR="00C86892" w:rsidRPr="00C86892" w:rsidRDefault="00C86892" w:rsidP="00C86892">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1.52</w:t>
            </w:r>
          </w:p>
        </w:tc>
        <w:tc>
          <w:tcPr>
            <w:tcW w:w="1224" w:type="dxa"/>
            <w:gridSpan w:val="2"/>
            <w:tcBorders>
              <w:top w:val="nil"/>
              <w:left w:val="nil"/>
              <w:bottom w:val="nil"/>
              <w:right w:val="nil"/>
            </w:tcBorders>
            <w:shd w:val="clear" w:color="auto" w:fill="auto"/>
            <w:noWrap/>
            <w:vAlign w:val="center"/>
            <w:hideMark/>
          </w:tcPr>
          <w:p w14:paraId="1C685C29" w14:textId="31632431" w:rsidR="00C86892" w:rsidRPr="00C86892" w:rsidRDefault="00C86892" w:rsidP="00C86892">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3.74</w:t>
            </w:r>
          </w:p>
        </w:tc>
        <w:tc>
          <w:tcPr>
            <w:tcW w:w="1224" w:type="dxa"/>
            <w:gridSpan w:val="2"/>
            <w:tcBorders>
              <w:top w:val="nil"/>
              <w:left w:val="nil"/>
              <w:bottom w:val="nil"/>
              <w:right w:val="nil"/>
            </w:tcBorders>
            <w:shd w:val="clear" w:color="auto" w:fill="auto"/>
            <w:noWrap/>
            <w:vAlign w:val="center"/>
            <w:hideMark/>
          </w:tcPr>
          <w:p w14:paraId="6AA46077" w14:textId="4370286B" w:rsidR="00C86892" w:rsidRPr="00C86892" w:rsidRDefault="00C86892" w:rsidP="00C86892">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2.46</w:t>
            </w:r>
          </w:p>
        </w:tc>
        <w:tc>
          <w:tcPr>
            <w:tcW w:w="1225" w:type="dxa"/>
            <w:tcBorders>
              <w:top w:val="nil"/>
              <w:left w:val="nil"/>
              <w:bottom w:val="nil"/>
              <w:right w:val="nil"/>
            </w:tcBorders>
            <w:shd w:val="clear" w:color="auto" w:fill="auto"/>
            <w:noWrap/>
            <w:vAlign w:val="center"/>
            <w:hideMark/>
          </w:tcPr>
          <w:p w14:paraId="3F15B1B0" w14:textId="40CB68B0" w:rsidR="00C86892" w:rsidRPr="00C86892" w:rsidRDefault="00C86892" w:rsidP="00C86892">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2.80</w:t>
            </w:r>
          </w:p>
        </w:tc>
        <w:tc>
          <w:tcPr>
            <w:tcW w:w="1698" w:type="dxa"/>
            <w:tcBorders>
              <w:top w:val="nil"/>
              <w:left w:val="nil"/>
              <w:bottom w:val="nil"/>
              <w:right w:val="nil"/>
            </w:tcBorders>
            <w:shd w:val="clear" w:color="auto" w:fill="auto"/>
            <w:noWrap/>
            <w:vAlign w:val="center"/>
            <w:hideMark/>
          </w:tcPr>
          <w:p w14:paraId="3E4E7B76" w14:textId="567BFD48" w:rsidR="00C86892" w:rsidRPr="00C86892" w:rsidRDefault="00C86892" w:rsidP="00C86892">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0.406</w:t>
            </w:r>
          </w:p>
        </w:tc>
      </w:tr>
      <w:tr w:rsidR="00C86892" w:rsidRPr="0097721A" w14:paraId="1CA5F79C" w14:textId="77777777" w:rsidTr="00211FA3">
        <w:trPr>
          <w:trHeight w:val="290"/>
        </w:trPr>
        <w:tc>
          <w:tcPr>
            <w:tcW w:w="3916" w:type="dxa"/>
            <w:tcBorders>
              <w:top w:val="nil"/>
              <w:left w:val="nil"/>
              <w:bottom w:val="nil"/>
              <w:right w:val="nil"/>
            </w:tcBorders>
            <w:shd w:val="clear" w:color="auto" w:fill="auto"/>
            <w:noWrap/>
            <w:vAlign w:val="bottom"/>
            <w:hideMark/>
          </w:tcPr>
          <w:p w14:paraId="20EDD4A2" w14:textId="77777777" w:rsidR="00C86892" w:rsidRPr="00C07E62" w:rsidRDefault="00C86892" w:rsidP="00C86892">
            <w:pPr>
              <w:spacing w:after="0" w:line="240" w:lineRule="auto"/>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 xml:space="preserve">        2) + Raise AA share to 15%</w:t>
            </w:r>
          </w:p>
        </w:tc>
        <w:tc>
          <w:tcPr>
            <w:tcW w:w="1224" w:type="dxa"/>
            <w:gridSpan w:val="2"/>
            <w:tcBorders>
              <w:top w:val="nil"/>
              <w:left w:val="nil"/>
              <w:bottom w:val="nil"/>
              <w:right w:val="nil"/>
            </w:tcBorders>
            <w:shd w:val="clear" w:color="auto" w:fill="auto"/>
            <w:noWrap/>
            <w:vAlign w:val="center"/>
            <w:hideMark/>
          </w:tcPr>
          <w:p w14:paraId="5F0306DE" w14:textId="6DB088B9" w:rsidR="00C86892" w:rsidRPr="00C86892" w:rsidRDefault="00C86892" w:rsidP="00C86892">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2.26</w:t>
            </w:r>
          </w:p>
        </w:tc>
        <w:tc>
          <w:tcPr>
            <w:tcW w:w="1224" w:type="dxa"/>
            <w:gridSpan w:val="2"/>
            <w:tcBorders>
              <w:top w:val="nil"/>
              <w:left w:val="nil"/>
              <w:bottom w:val="nil"/>
              <w:right w:val="nil"/>
            </w:tcBorders>
            <w:shd w:val="clear" w:color="auto" w:fill="auto"/>
            <w:noWrap/>
            <w:vAlign w:val="center"/>
            <w:hideMark/>
          </w:tcPr>
          <w:p w14:paraId="122B5F73" w14:textId="287A0BAF" w:rsidR="00C86892" w:rsidRPr="00C86892" w:rsidRDefault="00C86892" w:rsidP="00C86892">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5.43</w:t>
            </w:r>
          </w:p>
        </w:tc>
        <w:tc>
          <w:tcPr>
            <w:tcW w:w="1225" w:type="dxa"/>
            <w:gridSpan w:val="2"/>
            <w:tcBorders>
              <w:top w:val="nil"/>
              <w:left w:val="nil"/>
              <w:bottom w:val="nil"/>
              <w:right w:val="nil"/>
            </w:tcBorders>
            <w:shd w:val="clear" w:color="auto" w:fill="auto"/>
            <w:noWrap/>
            <w:vAlign w:val="center"/>
            <w:hideMark/>
          </w:tcPr>
          <w:p w14:paraId="24F9685D" w14:textId="6D1EF065" w:rsidR="00C86892" w:rsidRPr="004469EC" w:rsidRDefault="00C86892" w:rsidP="00C86892">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1.53</w:t>
            </w:r>
          </w:p>
        </w:tc>
        <w:tc>
          <w:tcPr>
            <w:tcW w:w="1224" w:type="dxa"/>
            <w:gridSpan w:val="2"/>
            <w:tcBorders>
              <w:top w:val="nil"/>
              <w:left w:val="nil"/>
              <w:bottom w:val="nil"/>
              <w:right w:val="nil"/>
            </w:tcBorders>
            <w:shd w:val="clear" w:color="auto" w:fill="auto"/>
            <w:noWrap/>
            <w:vAlign w:val="center"/>
            <w:hideMark/>
          </w:tcPr>
          <w:p w14:paraId="0F258A5C" w14:textId="56F938E4" w:rsidR="00C86892" w:rsidRPr="00C86892" w:rsidRDefault="00C86892" w:rsidP="00C86892">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3.68</w:t>
            </w:r>
          </w:p>
        </w:tc>
        <w:tc>
          <w:tcPr>
            <w:tcW w:w="1224" w:type="dxa"/>
            <w:gridSpan w:val="2"/>
            <w:tcBorders>
              <w:top w:val="nil"/>
              <w:left w:val="nil"/>
              <w:bottom w:val="nil"/>
              <w:right w:val="nil"/>
            </w:tcBorders>
            <w:shd w:val="clear" w:color="auto" w:fill="auto"/>
            <w:noWrap/>
            <w:vAlign w:val="center"/>
            <w:hideMark/>
          </w:tcPr>
          <w:p w14:paraId="2E39A558" w14:textId="320879BE" w:rsidR="00C86892" w:rsidRPr="00C86892" w:rsidRDefault="00C86892" w:rsidP="00C86892">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2.41</w:t>
            </w:r>
          </w:p>
        </w:tc>
        <w:tc>
          <w:tcPr>
            <w:tcW w:w="1225" w:type="dxa"/>
            <w:tcBorders>
              <w:top w:val="nil"/>
              <w:left w:val="nil"/>
              <w:bottom w:val="nil"/>
              <w:right w:val="nil"/>
            </w:tcBorders>
            <w:shd w:val="clear" w:color="auto" w:fill="auto"/>
            <w:noWrap/>
            <w:vAlign w:val="center"/>
            <w:hideMark/>
          </w:tcPr>
          <w:p w14:paraId="7488E41A" w14:textId="0A332B9E" w:rsidR="00C86892" w:rsidRPr="00C86892" w:rsidRDefault="00C86892" w:rsidP="00C86892">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2.72</w:t>
            </w:r>
          </w:p>
        </w:tc>
        <w:tc>
          <w:tcPr>
            <w:tcW w:w="1698" w:type="dxa"/>
            <w:tcBorders>
              <w:top w:val="nil"/>
              <w:left w:val="nil"/>
              <w:bottom w:val="nil"/>
              <w:right w:val="nil"/>
            </w:tcBorders>
            <w:shd w:val="clear" w:color="auto" w:fill="auto"/>
            <w:noWrap/>
            <w:vAlign w:val="center"/>
            <w:hideMark/>
          </w:tcPr>
          <w:p w14:paraId="42A3B00F" w14:textId="681D0BB6" w:rsidR="00C86892" w:rsidRPr="00C86892" w:rsidRDefault="00C86892" w:rsidP="00C86892">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0.403</w:t>
            </w:r>
          </w:p>
        </w:tc>
      </w:tr>
      <w:tr w:rsidR="00C86892" w:rsidRPr="0097721A" w14:paraId="105AEE05" w14:textId="77777777" w:rsidTr="00211FA3">
        <w:trPr>
          <w:trHeight w:val="290"/>
        </w:trPr>
        <w:tc>
          <w:tcPr>
            <w:tcW w:w="3916" w:type="dxa"/>
            <w:tcBorders>
              <w:top w:val="nil"/>
              <w:left w:val="nil"/>
              <w:bottom w:val="nil"/>
              <w:right w:val="nil"/>
            </w:tcBorders>
            <w:shd w:val="clear" w:color="auto" w:fill="auto"/>
            <w:noWrap/>
            <w:vAlign w:val="bottom"/>
            <w:hideMark/>
          </w:tcPr>
          <w:p w14:paraId="2618CC14" w14:textId="77777777" w:rsidR="00C86892" w:rsidRPr="00C07E62" w:rsidRDefault="00C86892" w:rsidP="00C86892">
            <w:pPr>
              <w:spacing w:after="0" w:line="240" w:lineRule="auto"/>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 xml:space="preserve">        3) 60% BA share, 20% AA share</w:t>
            </w:r>
          </w:p>
        </w:tc>
        <w:tc>
          <w:tcPr>
            <w:tcW w:w="1224" w:type="dxa"/>
            <w:gridSpan w:val="2"/>
            <w:tcBorders>
              <w:top w:val="nil"/>
              <w:left w:val="nil"/>
              <w:bottom w:val="nil"/>
              <w:right w:val="nil"/>
            </w:tcBorders>
            <w:shd w:val="clear" w:color="auto" w:fill="auto"/>
            <w:noWrap/>
            <w:vAlign w:val="center"/>
            <w:hideMark/>
          </w:tcPr>
          <w:p w14:paraId="2059DBC8" w14:textId="516E2553" w:rsidR="00C86892" w:rsidRPr="00C86892" w:rsidRDefault="00C86892" w:rsidP="00C86892">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w:t>
            </w:r>
            <w:r w:rsidR="007D17AF" w:rsidRPr="004B26C9">
              <w:rPr>
                <w:rFonts w:ascii="Times New Roman" w:hAnsi="Times New Roman" w:cs="Times New Roman"/>
                <w:color w:val="000000"/>
                <w:sz w:val="24"/>
                <w:szCs w:val="24"/>
              </w:rPr>
              <w:t>2</w:t>
            </w:r>
            <w:r w:rsidR="007D17AF">
              <w:rPr>
                <w:rFonts w:ascii="Times New Roman" w:hAnsi="Times New Roman" w:cs="Times New Roman"/>
                <w:color w:val="000000"/>
                <w:sz w:val="24"/>
                <w:szCs w:val="24"/>
              </w:rPr>
              <w:t>4</w:t>
            </w:r>
          </w:p>
        </w:tc>
        <w:tc>
          <w:tcPr>
            <w:tcW w:w="1224" w:type="dxa"/>
            <w:gridSpan w:val="2"/>
            <w:tcBorders>
              <w:top w:val="nil"/>
              <w:left w:val="nil"/>
              <w:bottom w:val="nil"/>
              <w:right w:val="nil"/>
            </w:tcBorders>
            <w:shd w:val="clear" w:color="auto" w:fill="auto"/>
            <w:noWrap/>
            <w:vAlign w:val="center"/>
            <w:hideMark/>
          </w:tcPr>
          <w:p w14:paraId="32514A32" w14:textId="099AAF88" w:rsidR="00C86892" w:rsidRPr="00C86892" w:rsidRDefault="00C86892" w:rsidP="00C86892">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5.</w:t>
            </w:r>
            <w:r w:rsidR="007D17AF" w:rsidRPr="004B26C9">
              <w:rPr>
                <w:rFonts w:ascii="Times New Roman" w:hAnsi="Times New Roman" w:cs="Times New Roman"/>
                <w:color w:val="000000"/>
                <w:sz w:val="24"/>
                <w:szCs w:val="24"/>
              </w:rPr>
              <w:t>2</w:t>
            </w:r>
            <w:r w:rsidR="007D17AF">
              <w:rPr>
                <w:rFonts w:ascii="Times New Roman" w:hAnsi="Times New Roman" w:cs="Times New Roman"/>
                <w:color w:val="000000"/>
                <w:sz w:val="24"/>
                <w:szCs w:val="24"/>
              </w:rPr>
              <w:t>0</w:t>
            </w:r>
          </w:p>
        </w:tc>
        <w:tc>
          <w:tcPr>
            <w:tcW w:w="1225" w:type="dxa"/>
            <w:gridSpan w:val="2"/>
            <w:tcBorders>
              <w:top w:val="nil"/>
              <w:left w:val="nil"/>
              <w:bottom w:val="nil"/>
              <w:right w:val="nil"/>
            </w:tcBorders>
            <w:shd w:val="clear" w:color="auto" w:fill="auto"/>
            <w:noWrap/>
            <w:vAlign w:val="center"/>
            <w:hideMark/>
          </w:tcPr>
          <w:p w14:paraId="73981F07" w14:textId="0E4CA7BC" w:rsidR="00C86892" w:rsidRPr="00C86892" w:rsidRDefault="00C86892" w:rsidP="00C86892">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1.</w:t>
            </w:r>
            <w:r w:rsidR="007D17AF" w:rsidRPr="004B26C9">
              <w:rPr>
                <w:rFonts w:ascii="Times New Roman" w:hAnsi="Times New Roman" w:cs="Times New Roman"/>
                <w:color w:val="000000"/>
                <w:sz w:val="24"/>
                <w:szCs w:val="24"/>
              </w:rPr>
              <w:t>5</w:t>
            </w:r>
            <w:r w:rsidR="007D17AF">
              <w:rPr>
                <w:rFonts w:ascii="Times New Roman" w:hAnsi="Times New Roman" w:cs="Times New Roman"/>
                <w:color w:val="000000"/>
                <w:sz w:val="24"/>
                <w:szCs w:val="24"/>
              </w:rPr>
              <w:t>6</w:t>
            </w:r>
          </w:p>
        </w:tc>
        <w:tc>
          <w:tcPr>
            <w:tcW w:w="1224" w:type="dxa"/>
            <w:gridSpan w:val="2"/>
            <w:tcBorders>
              <w:top w:val="nil"/>
              <w:left w:val="nil"/>
              <w:bottom w:val="nil"/>
              <w:right w:val="nil"/>
            </w:tcBorders>
            <w:shd w:val="clear" w:color="auto" w:fill="auto"/>
            <w:noWrap/>
            <w:vAlign w:val="center"/>
            <w:hideMark/>
          </w:tcPr>
          <w:p w14:paraId="2DEB3898" w14:textId="4E3940E0" w:rsidR="00C86892" w:rsidRPr="00C86892" w:rsidRDefault="00C86892" w:rsidP="00C86892">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3.61</w:t>
            </w:r>
          </w:p>
        </w:tc>
        <w:tc>
          <w:tcPr>
            <w:tcW w:w="1224" w:type="dxa"/>
            <w:gridSpan w:val="2"/>
            <w:tcBorders>
              <w:top w:val="nil"/>
              <w:left w:val="nil"/>
              <w:bottom w:val="nil"/>
              <w:right w:val="nil"/>
            </w:tcBorders>
            <w:shd w:val="clear" w:color="auto" w:fill="auto"/>
            <w:noWrap/>
            <w:vAlign w:val="center"/>
            <w:hideMark/>
          </w:tcPr>
          <w:p w14:paraId="33E6EC2C" w14:textId="2DCB9B09" w:rsidR="00C86892" w:rsidRPr="00C86892" w:rsidRDefault="00C86892" w:rsidP="00C86892">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w:t>
            </w:r>
            <w:r w:rsidR="007D17AF" w:rsidRPr="004B26C9">
              <w:rPr>
                <w:rFonts w:ascii="Times New Roman" w:hAnsi="Times New Roman" w:cs="Times New Roman"/>
                <w:color w:val="000000"/>
                <w:sz w:val="24"/>
                <w:szCs w:val="24"/>
              </w:rPr>
              <w:t>3</w:t>
            </w:r>
            <w:r w:rsidR="007D17AF">
              <w:rPr>
                <w:rFonts w:ascii="Times New Roman" w:hAnsi="Times New Roman" w:cs="Times New Roman"/>
                <w:color w:val="000000"/>
                <w:sz w:val="24"/>
                <w:szCs w:val="24"/>
              </w:rPr>
              <w:t>2</w:t>
            </w:r>
          </w:p>
        </w:tc>
        <w:tc>
          <w:tcPr>
            <w:tcW w:w="1225" w:type="dxa"/>
            <w:tcBorders>
              <w:top w:val="nil"/>
              <w:left w:val="nil"/>
              <w:bottom w:val="nil"/>
              <w:right w:val="nil"/>
            </w:tcBorders>
            <w:shd w:val="clear" w:color="auto" w:fill="auto"/>
            <w:noWrap/>
            <w:vAlign w:val="center"/>
            <w:hideMark/>
          </w:tcPr>
          <w:p w14:paraId="3CFF1C5E" w14:textId="77076389" w:rsidR="00C86892" w:rsidRPr="00C86892" w:rsidRDefault="00C86892" w:rsidP="00C86892">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w:t>
            </w:r>
            <w:r w:rsidR="007D17AF">
              <w:rPr>
                <w:rFonts w:ascii="Times New Roman" w:hAnsi="Times New Roman" w:cs="Times New Roman"/>
                <w:color w:val="000000"/>
                <w:sz w:val="24"/>
                <w:szCs w:val="24"/>
              </w:rPr>
              <w:t>85</w:t>
            </w:r>
          </w:p>
        </w:tc>
        <w:tc>
          <w:tcPr>
            <w:tcW w:w="1698" w:type="dxa"/>
            <w:tcBorders>
              <w:top w:val="nil"/>
              <w:left w:val="nil"/>
              <w:bottom w:val="nil"/>
              <w:right w:val="nil"/>
            </w:tcBorders>
            <w:shd w:val="clear" w:color="auto" w:fill="auto"/>
            <w:noWrap/>
            <w:vAlign w:val="center"/>
            <w:hideMark/>
          </w:tcPr>
          <w:p w14:paraId="21F00776" w14:textId="693A6E85" w:rsidR="00C86892" w:rsidRPr="00C86892" w:rsidRDefault="00C86892" w:rsidP="00C86892">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0.398</w:t>
            </w:r>
          </w:p>
        </w:tc>
      </w:tr>
      <w:tr w:rsidR="00C86892" w:rsidRPr="0097721A" w14:paraId="6D9F55B8" w14:textId="77777777" w:rsidTr="00211FA3">
        <w:trPr>
          <w:trHeight w:val="432"/>
        </w:trPr>
        <w:tc>
          <w:tcPr>
            <w:tcW w:w="3916" w:type="dxa"/>
            <w:tcBorders>
              <w:top w:val="nil"/>
              <w:left w:val="nil"/>
              <w:bottom w:val="nil"/>
              <w:right w:val="nil"/>
            </w:tcBorders>
            <w:shd w:val="clear" w:color="auto" w:fill="auto"/>
            <w:noWrap/>
            <w:vAlign w:val="bottom"/>
            <w:hideMark/>
          </w:tcPr>
          <w:p w14:paraId="0B69F97B" w14:textId="77777777" w:rsidR="00C86892" w:rsidRPr="00C07E62" w:rsidRDefault="00C86892" w:rsidP="00C86892">
            <w:pPr>
              <w:spacing w:after="0" w:line="240" w:lineRule="auto"/>
              <w:rPr>
                <w:rFonts w:ascii="Times New Roman" w:eastAsia="Times New Roman" w:hAnsi="Times New Roman" w:cs="Times New Roman"/>
                <w:i/>
                <w:color w:val="000000"/>
                <w:sz w:val="24"/>
                <w:szCs w:val="24"/>
              </w:rPr>
            </w:pPr>
            <w:r w:rsidRPr="00C07E62">
              <w:rPr>
                <w:rFonts w:ascii="Times New Roman" w:eastAsia="Times New Roman" w:hAnsi="Times New Roman" w:cs="Times New Roman"/>
                <w:color w:val="000000"/>
                <w:sz w:val="24"/>
                <w:szCs w:val="24"/>
              </w:rPr>
              <w:t xml:space="preserve">    </w:t>
            </w:r>
            <w:r w:rsidRPr="00C07E62">
              <w:rPr>
                <w:rFonts w:ascii="Times New Roman" w:eastAsia="Times New Roman" w:hAnsi="Times New Roman" w:cs="Times New Roman"/>
                <w:i/>
                <w:color w:val="000000"/>
                <w:sz w:val="24"/>
                <w:szCs w:val="24"/>
              </w:rPr>
              <w:t>Causal Parameter Method</w:t>
            </w:r>
          </w:p>
        </w:tc>
        <w:tc>
          <w:tcPr>
            <w:tcW w:w="1224" w:type="dxa"/>
            <w:gridSpan w:val="2"/>
            <w:tcBorders>
              <w:top w:val="nil"/>
              <w:left w:val="nil"/>
              <w:bottom w:val="nil"/>
              <w:right w:val="nil"/>
            </w:tcBorders>
            <w:shd w:val="clear" w:color="auto" w:fill="auto"/>
            <w:noWrap/>
            <w:vAlign w:val="bottom"/>
            <w:hideMark/>
          </w:tcPr>
          <w:p w14:paraId="7B9497FB" w14:textId="77777777" w:rsidR="00C86892" w:rsidRPr="00C86892" w:rsidRDefault="00C86892" w:rsidP="00C86892">
            <w:pPr>
              <w:spacing w:after="0" w:line="240" w:lineRule="auto"/>
              <w:jc w:val="right"/>
              <w:rPr>
                <w:rFonts w:ascii="Times New Roman" w:eastAsia="Times New Roman" w:hAnsi="Times New Roman" w:cs="Times New Roman"/>
                <w:color w:val="000000"/>
                <w:sz w:val="24"/>
                <w:szCs w:val="24"/>
              </w:rPr>
            </w:pPr>
          </w:p>
        </w:tc>
        <w:tc>
          <w:tcPr>
            <w:tcW w:w="1224" w:type="dxa"/>
            <w:gridSpan w:val="2"/>
            <w:tcBorders>
              <w:top w:val="nil"/>
              <w:left w:val="nil"/>
              <w:bottom w:val="nil"/>
              <w:right w:val="nil"/>
            </w:tcBorders>
            <w:shd w:val="clear" w:color="auto" w:fill="auto"/>
            <w:noWrap/>
            <w:vAlign w:val="bottom"/>
            <w:hideMark/>
          </w:tcPr>
          <w:p w14:paraId="0E977026" w14:textId="77777777" w:rsidR="00C86892" w:rsidRPr="00C86892" w:rsidRDefault="00C86892" w:rsidP="00C86892">
            <w:pPr>
              <w:spacing w:after="0" w:line="240" w:lineRule="auto"/>
              <w:jc w:val="right"/>
              <w:rPr>
                <w:rFonts w:ascii="Times New Roman" w:eastAsia="Times New Roman" w:hAnsi="Times New Roman" w:cs="Times New Roman"/>
                <w:sz w:val="24"/>
                <w:szCs w:val="24"/>
              </w:rPr>
            </w:pPr>
          </w:p>
        </w:tc>
        <w:tc>
          <w:tcPr>
            <w:tcW w:w="1225" w:type="dxa"/>
            <w:gridSpan w:val="2"/>
            <w:tcBorders>
              <w:top w:val="nil"/>
              <w:left w:val="nil"/>
              <w:bottom w:val="nil"/>
              <w:right w:val="nil"/>
            </w:tcBorders>
            <w:shd w:val="clear" w:color="auto" w:fill="auto"/>
            <w:noWrap/>
            <w:vAlign w:val="bottom"/>
            <w:hideMark/>
          </w:tcPr>
          <w:p w14:paraId="62B60DF0" w14:textId="77777777" w:rsidR="00C86892" w:rsidRPr="00C86892" w:rsidRDefault="00C86892" w:rsidP="00C86892">
            <w:pPr>
              <w:spacing w:after="0" w:line="240" w:lineRule="auto"/>
              <w:jc w:val="right"/>
              <w:rPr>
                <w:rFonts w:ascii="Times New Roman" w:eastAsia="Times New Roman" w:hAnsi="Times New Roman" w:cs="Times New Roman"/>
                <w:sz w:val="24"/>
                <w:szCs w:val="24"/>
              </w:rPr>
            </w:pPr>
          </w:p>
        </w:tc>
        <w:tc>
          <w:tcPr>
            <w:tcW w:w="1224" w:type="dxa"/>
            <w:gridSpan w:val="2"/>
            <w:tcBorders>
              <w:top w:val="nil"/>
              <w:left w:val="nil"/>
              <w:bottom w:val="nil"/>
              <w:right w:val="nil"/>
            </w:tcBorders>
            <w:shd w:val="clear" w:color="auto" w:fill="auto"/>
            <w:noWrap/>
            <w:vAlign w:val="bottom"/>
            <w:hideMark/>
          </w:tcPr>
          <w:p w14:paraId="7D418980" w14:textId="77777777" w:rsidR="00C86892" w:rsidRPr="00C86892" w:rsidRDefault="00C86892" w:rsidP="00C86892">
            <w:pPr>
              <w:spacing w:after="0" w:line="240" w:lineRule="auto"/>
              <w:jc w:val="right"/>
              <w:rPr>
                <w:rFonts w:ascii="Times New Roman" w:eastAsia="Times New Roman" w:hAnsi="Times New Roman" w:cs="Times New Roman"/>
                <w:sz w:val="24"/>
                <w:szCs w:val="24"/>
              </w:rPr>
            </w:pPr>
          </w:p>
        </w:tc>
        <w:tc>
          <w:tcPr>
            <w:tcW w:w="1224" w:type="dxa"/>
            <w:gridSpan w:val="2"/>
            <w:tcBorders>
              <w:top w:val="nil"/>
              <w:left w:val="nil"/>
              <w:bottom w:val="nil"/>
              <w:right w:val="nil"/>
            </w:tcBorders>
            <w:shd w:val="clear" w:color="auto" w:fill="auto"/>
            <w:noWrap/>
            <w:vAlign w:val="bottom"/>
            <w:hideMark/>
          </w:tcPr>
          <w:p w14:paraId="5644E11E" w14:textId="77777777" w:rsidR="00C86892" w:rsidRPr="00C86892" w:rsidRDefault="00C86892" w:rsidP="00C86892">
            <w:pPr>
              <w:spacing w:after="0" w:line="240" w:lineRule="auto"/>
              <w:jc w:val="right"/>
              <w:rPr>
                <w:rFonts w:ascii="Times New Roman" w:eastAsia="Times New Roman" w:hAnsi="Times New Roman" w:cs="Times New Roman"/>
                <w:sz w:val="24"/>
                <w:szCs w:val="24"/>
              </w:rPr>
            </w:pPr>
          </w:p>
        </w:tc>
        <w:tc>
          <w:tcPr>
            <w:tcW w:w="1225" w:type="dxa"/>
            <w:tcBorders>
              <w:top w:val="nil"/>
              <w:left w:val="nil"/>
              <w:bottom w:val="nil"/>
              <w:right w:val="nil"/>
            </w:tcBorders>
            <w:shd w:val="clear" w:color="auto" w:fill="auto"/>
            <w:noWrap/>
            <w:vAlign w:val="bottom"/>
            <w:hideMark/>
          </w:tcPr>
          <w:p w14:paraId="2B7D3236" w14:textId="77777777" w:rsidR="00C86892" w:rsidRPr="00C86892" w:rsidRDefault="00C86892" w:rsidP="00C86892">
            <w:pPr>
              <w:spacing w:after="0" w:line="240" w:lineRule="auto"/>
              <w:jc w:val="right"/>
              <w:rPr>
                <w:rFonts w:ascii="Times New Roman" w:eastAsia="Times New Roman" w:hAnsi="Times New Roman" w:cs="Times New Roman"/>
                <w:sz w:val="24"/>
                <w:szCs w:val="24"/>
              </w:rPr>
            </w:pPr>
          </w:p>
        </w:tc>
        <w:tc>
          <w:tcPr>
            <w:tcW w:w="1698" w:type="dxa"/>
            <w:tcBorders>
              <w:top w:val="nil"/>
              <w:left w:val="nil"/>
              <w:bottom w:val="nil"/>
              <w:right w:val="nil"/>
            </w:tcBorders>
            <w:shd w:val="clear" w:color="auto" w:fill="auto"/>
            <w:noWrap/>
            <w:vAlign w:val="bottom"/>
            <w:hideMark/>
          </w:tcPr>
          <w:p w14:paraId="7CFC142F" w14:textId="77777777" w:rsidR="00C86892" w:rsidRPr="00C86892" w:rsidRDefault="00C86892" w:rsidP="00C86892">
            <w:pPr>
              <w:spacing w:after="0" w:line="240" w:lineRule="auto"/>
              <w:jc w:val="right"/>
              <w:rPr>
                <w:rFonts w:ascii="Times New Roman" w:eastAsia="Times New Roman" w:hAnsi="Times New Roman" w:cs="Times New Roman"/>
                <w:sz w:val="24"/>
                <w:szCs w:val="24"/>
              </w:rPr>
            </w:pPr>
          </w:p>
        </w:tc>
      </w:tr>
      <w:tr w:rsidR="00C86892" w:rsidRPr="0097721A" w14:paraId="678A7606" w14:textId="77777777" w:rsidTr="00211FA3">
        <w:trPr>
          <w:trHeight w:val="290"/>
        </w:trPr>
        <w:tc>
          <w:tcPr>
            <w:tcW w:w="3916" w:type="dxa"/>
            <w:tcBorders>
              <w:top w:val="nil"/>
              <w:left w:val="nil"/>
              <w:bottom w:val="nil"/>
              <w:right w:val="nil"/>
            </w:tcBorders>
            <w:shd w:val="clear" w:color="auto" w:fill="auto"/>
            <w:noWrap/>
            <w:vAlign w:val="bottom"/>
            <w:hideMark/>
          </w:tcPr>
          <w:p w14:paraId="14A85D6C" w14:textId="77777777" w:rsidR="00C86892" w:rsidRPr="00C07E62" w:rsidRDefault="00C86892" w:rsidP="00C86892">
            <w:pPr>
              <w:spacing w:after="0" w:line="240" w:lineRule="auto"/>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 xml:space="preserve">        1) Raise BA share to 50%</w:t>
            </w:r>
          </w:p>
        </w:tc>
        <w:tc>
          <w:tcPr>
            <w:tcW w:w="1224" w:type="dxa"/>
            <w:gridSpan w:val="2"/>
            <w:tcBorders>
              <w:top w:val="nil"/>
              <w:left w:val="nil"/>
              <w:bottom w:val="nil"/>
              <w:right w:val="nil"/>
            </w:tcBorders>
            <w:shd w:val="clear" w:color="auto" w:fill="auto"/>
            <w:noWrap/>
            <w:vAlign w:val="center"/>
            <w:hideMark/>
          </w:tcPr>
          <w:p w14:paraId="1A14A92A" w14:textId="01AED490" w:rsidR="00C86892" w:rsidRPr="00C86892" w:rsidRDefault="00C86892" w:rsidP="00C86892">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2.19</w:t>
            </w:r>
          </w:p>
        </w:tc>
        <w:tc>
          <w:tcPr>
            <w:tcW w:w="1224" w:type="dxa"/>
            <w:gridSpan w:val="2"/>
            <w:tcBorders>
              <w:top w:val="nil"/>
              <w:left w:val="nil"/>
              <w:bottom w:val="nil"/>
              <w:right w:val="nil"/>
            </w:tcBorders>
            <w:shd w:val="clear" w:color="auto" w:fill="auto"/>
            <w:noWrap/>
            <w:vAlign w:val="center"/>
            <w:hideMark/>
          </w:tcPr>
          <w:p w14:paraId="25AA7B30" w14:textId="2B1D4F89" w:rsidR="00C86892" w:rsidRPr="00C86892" w:rsidRDefault="00C86892" w:rsidP="00C86892">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5.30</w:t>
            </w:r>
          </w:p>
        </w:tc>
        <w:tc>
          <w:tcPr>
            <w:tcW w:w="1225" w:type="dxa"/>
            <w:gridSpan w:val="2"/>
            <w:tcBorders>
              <w:top w:val="nil"/>
              <w:left w:val="nil"/>
              <w:bottom w:val="nil"/>
              <w:right w:val="nil"/>
            </w:tcBorders>
            <w:shd w:val="clear" w:color="auto" w:fill="auto"/>
            <w:noWrap/>
            <w:vAlign w:val="center"/>
            <w:hideMark/>
          </w:tcPr>
          <w:p w14:paraId="1844AC7E" w14:textId="1E810F98" w:rsidR="00C86892" w:rsidRPr="00C86892" w:rsidRDefault="00C86892" w:rsidP="00C86892">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1.50</w:t>
            </w:r>
          </w:p>
        </w:tc>
        <w:tc>
          <w:tcPr>
            <w:tcW w:w="1224" w:type="dxa"/>
            <w:gridSpan w:val="2"/>
            <w:tcBorders>
              <w:top w:val="nil"/>
              <w:left w:val="nil"/>
              <w:bottom w:val="nil"/>
              <w:right w:val="nil"/>
            </w:tcBorders>
            <w:shd w:val="clear" w:color="auto" w:fill="auto"/>
            <w:noWrap/>
            <w:vAlign w:val="center"/>
            <w:hideMark/>
          </w:tcPr>
          <w:p w14:paraId="1D9A1F43" w14:textId="583FF603" w:rsidR="00C86892" w:rsidRPr="00C86892" w:rsidRDefault="00C86892" w:rsidP="00C86892">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3.63</w:t>
            </w:r>
          </w:p>
        </w:tc>
        <w:tc>
          <w:tcPr>
            <w:tcW w:w="1224" w:type="dxa"/>
            <w:gridSpan w:val="2"/>
            <w:tcBorders>
              <w:top w:val="nil"/>
              <w:left w:val="nil"/>
              <w:bottom w:val="nil"/>
              <w:right w:val="nil"/>
            </w:tcBorders>
            <w:shd w:val="clear" w:color="auto" w:fill="auto"/>
            <w:noWrap/>
            <w:vAlign w:val="center"/>
            <w:hideMark/>
          </w:tcPr>
          <w:p w14:paraId="3CAE1DBD" w14:textId="28CDA8FC" w:rsidR="00C86892" w:rsidRPr="004469EC" w:rsidRDefault="00C86892" w:rsidP="00C86892">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2.42</w:t>
            </w:r>
          </w:p>
        </w:tc>
        <w:tc>
          <w:tcPr>
            <w:tcW w:w="1225" w:type="dxa"/>
            <w:tcBorders>
              <w:top w:val="nil"/>
              <w:left w:val="nil"/>
              <w:bottom w:val="nil"/>
              <w:right w:val="nil"/>
            </w:tcBorders>
            <w:shd w:val="clear" w:color="auto" w:fill="auto"/>
            <w:noWrap/>
            <w:vAlign w:val="center"/>
            <w:hideMark/>
          </w:tcPr>
          <w:p w14:paraId="7EB7B1AD" w14:textId="74D8817E" w:rsidR="00C86892" w:rsidRPr="00C86892" w:rsidRDefault="00C86892" w:rsidP="00C86892">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2.70</w:t>
            </w:r>
          </w:p>
        </w:tc>
        <w:tc>
          <w:tcPr>
            <w:tcW w:w="1698" w:type="dxa"/>
            <w:tcBorders>
              <w:top w:val="nil"/>
              <w:left w:val="nil"/>
              <w:bottom w:val="nil"/>
              <w:right w:val="nil"/>
            </w:tcBorders>
            <w:shd w:val="clear" w:color="auto" w:fill="auto"/>
            <w:noWrap/>
            <w:vAlign w:val="center"/>
            <w:hideMark/>
          </w:tcPr>
          <w:p w14:paraId="682827C4" w14:textId="30ECB696" w:rsidR="00C86892" w:rsidRPr="00C86892" w:rsidRDefault="00C86892" w:rsidP="00C86892">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0.401</w:t>
            </w:r>
          </w:p>
        </w:tc>
      </w:tr>
      <w:tr w:rsidR="00C86892" w:rsidRPr="0097721A" w14:paraId="4DE06825" w14:textId="77777777" w:rsidTr="00211FA3">
        <w:trPr>
          <w:trHeight w:val="290"/>
        </w:trPr>
        <w:tc>
          <w:tcPr>
            <w:tcW w:w="3916" w:type="dxa"/>
            <w:tcBorders>
              <w:top w:val="nil"/>
              <w:left w:val="nil"/>
              <w:bottom w:val="nil"/>
              <w:right w:val="nil"/>
            </w:tcBorders>
            <w:shd w:val="clear" w:color="auto" w:fill="auto"/>
            <w:noWrap/>
            <w:vAlign w:val="bottom"/>
            <w:hideMark/>
          </w:tcPr>
          <w:p w14:paraId="45DEACA1" w14:textId="77777777" w:rsidR="00C86892" w:rsidRPr="00C07E62" w:rsidRDefault="00C86892" w:rsidP="00C86892">
            <w:pPr>
              <w:spacing w:after="0" w:line="240" w:lineRule="auto"/>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 xml:space="preserve">        2) + Raise AA share to 15%</w:t>
            </w:r>
          </w:p>
        </w:tc>
        <w:tc>
          <w:tcPr>
            <w:tcW w:w="1224" w:type="dxa"/>
            <w:gridSpan w:val="2"/>
            <w:tcBorders>
              <w:top w:val="nil"/>
              <w:left w:val="nil"/>
              <w:bottom w:val="nil"/>
              <w:right w:val="nil"/>
            </w:tcBorders>
            <w:shd w:val="clear" w:color="auto" w:fill="auto"/>
            <w:noWrap/>
            <w:vAlign w:val="center"/>
            <w:hideMark/>
          </w:tcPr>
          <w:p w14:paraId="0A917E46" w14:textId="04255D0E" w:rsidR="00C86892" w:rsidRPr="00C86892" w:rsidRDefault="00C86892" w:rsidP="00C86892">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2.26</w:t>
            </w:r>
          </w:p>
        </w:tc>
        <w:tc>
          <w:tcPr>
            <w:tcW w:w="1224" w:type="dxa"/>
            <w:gridSpan w:val="2"/>
            <w:tcBorders>
              <w:top w:val="nil"/>
              <w:left w:val="nil"/>
              <w:bottom w:val="nil"/>
              <w:right w:val="nil"/>
            </w:tcBorders>
            <w:shd w:val="clear" w:color="auto" w:fill="auto"/>
            <w:noWrap/>
            <w:vAlign w:val="center"/>
            <w:hideMark/>
          </w:tcPr>
          <w:p w14:paraId="0AA5F87C" w14:textId="286F9D48" w:rsidR="00C86892" w:rsidRPr="00C86892" w:rsidRDefault="00C86892" w:rsidP="00C86892">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5.43</w:t>
            </w:r>
          </w:p>
        </w:tc>
        <w:tc>
          <w:tcPr>
            <w:tcW w:w="1225" w:type="dxa"/>
            <w:gridSpan w:val="2"/>
            <w:tcBorders>
              <w:top w:val="nil"/>
              <w:left w:val="nil"/>
              <w:bottom w:val="nil"/>
              <w:right w:val="nil"/>
            </w:tcBorders>
            <w:shd w:val="clear" w:color="auto" w:fill="auto"/>
            <w:noWrap/>
            <w:vAlign w:val="center"/>
            <w:hideMark/>
          </w:tcPr>
          <w:p w14:paraId="1C3A513D" w14:textId="5CF199AA" w:rsidR="00C86892" w:rsidRPr="00C86892" w:rsidRDefault="00C86892" w:rsidP="00C86892">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1.49</w:t>
            </w:r>
          </w:p>
        </w:tc>
        <w:tc>
          <w:tcPr>
            <w:tcW w:w="1224" w:type="dxa"/>
            <w:gridSpan w:val="2"/>
            <w:tcBorders>
              <w:top w:val="nil"/>
              <w:left w:val="nil"/>
              <w:bottom w:val="nil"/>
              <w:right w:val="nil"/>
            </w:tcBorders>
            <w:shd w:val="clear" w:color="auto" w:fill="auto"/>
            <w:noWrap/>
            <w:vAlign w:val="center"/>
            <w:hideMark/>
          </w:tcPr>
          <w:p w14:paraId="044B60BD" w14:textId="3BA0E5AD" w:rsidR="00C86892" w:rsidRPr="00C86892" w:rsidRDefault="00C86892" w:rsidP="00C86892">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3.58</w:t>
            </w:r>
          </w:p>
        </w:tc>
        <w:tc>
          <w:tcPr>
            <w:tcW w:w="1224" w:type="dxa"/>
            <w:gridSpan w:val="2"/>
            <w:tcBorders>
              <w:top w:val="nil"/>
              <w:left w:val="nil"/>
              <w:bottom w:val="nil"/>
              <w:right w:val="nil"/>
            </w:tcBorders>
            <w:shd w:val="clear" w:color="auto" w:fill="auto"/>
            <w:noWrap/>
            <w:vAlign w:val="center"/>
            <w:hideMark/>
          </w:tcPr>
          <w:p w14:paraId="5ACAE263" w14:textId="2697EC4D" w:rsidR="00C86892" w:rsidRPr="00C86892" w:rsidRDefault="00C86892" w:rsidP="00C86892">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2.40</w:t>
            </w:r>
          </w:p>
        </w:tc>
        <w:tc>
          <w:tcPr>
            <w:tcW w:w="1225" w:type="dxa"/>
            <w:tcBorders>
              <w:top w:val="nil"/>
              <w:left w:val="nil"/>
              <w:bottom w:val="nil"/>
              <w:right w:val="nil"/>
            </w:tcBorders>
            <w:shd w:val="clear" w:color="auto" w:fill="auto"/>
            <w:noWrap/>
            <w:vAlign w:val="center"/>
            <w:hideMark/>
          </w:tcPr>
          <w:p w14:paraId="345BE4DB" w14:textId="2D510045" w:rsidR="00C86892" w:rsidRPr="00C86892" w:rsidRDefault="00C86892" w:rsidP="00C86892">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2.64</w:t>
            </w:r>
          </w:p>
        </w:tc>
        <w:tc>
          <w:tcPr>
            <w:tcW w:w="1698" w:type="dxa"/>
            <w:tcBorders>
              <w:top w:val="nil"/>
              <w:left w:val="nil"/>
              <w:bottom w:val="nil"/>
              <w:right w:val="nil"/>
            </w:tcBorders>
            <w:shd w:val="clear" w:color="auto" w:fill="auto"/>
            <w:noWrap/>
            <w:vAlign w:val="center"/>
            <w:hideMark/>
          </w:tcPr>
          <w:p w14:paraId="446766D2" w14:textId="178416AF" w:rsidR="00C86892" w:rsidRPr="00C86892" w:rsidRDefault="00C86892" w:rsidP="00C86892">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0.400</w:t>
            </w:r>
          </w:p>
        </w:tc>
      </w:tr>
      <w:tr w:rsidR="00C86892" w:rsidRPr="0097721A" w14:paraId="0116A3DD" w14:textId="77777777" w:rsidTr="00211FA3">
        <w:trPr>
          <w:trHeight w:val="290"/>
        </w:trPr>
        <w:tc>
          <w:tcPr>
            <w:tcW w:w="3916" w:type="dxa"/>
            <w:tcBorders>
              <w:top w:val="nil"/>
              <w:left w:val="nil"/>
              <w:bottom w:val="nil"/>
              <w:right w:val="nil"/>
            </w:tcBorders>
            <w:shd w:val="clear" w:color="auto" w:fill="auto"/>
            <w:noWrap/>
            <w:vAlign w:val="bottom"/>
            <w:hideMark/>
          </w:tcPr>
          <w:p w14:paraId="350835D3" w14:textId="77777777" w:rsidR="00C86892" w:rsidRPr="00C07E62" w:rsidRDefault="00C86892" w:rsidP="00C86892">
            <w:pPr>
              <w:spacing w:after="0" w:line="240" w:lineRule="auto"/>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 xml:space="preserve">        3) 60% BA share, 20% AA share</w:t>
            </w:r>
          </w:p>
        </w:tc>
        <w:tc>
          <w:tcPr>
            <w:tcW w:w="1224" w:type="dxa"/>
            <w:gridSpan w:val="2"/>
            <w:tcBorders>
              <w:top w:val="nil"/>
              <w:left w:val="nil"/>
              <w:bottom w:val="nil"/>
              <w:right w:val="nil"/>
            </w:tcBorders>
            <w:shd w:val="clear" w:color="auto" w:fill="auto"/>
            <w:noWrap/>
            <w:vAlign w:val="center"/>
            <w:hideMark/>
          </w:tcPr>
          <w:p w14:paraId="1705A616" w14:textId="4166F338" w:rsidR="00C86892" w:rsidRPr="00C86892" w:rsidRDefault="00C86892" w:rsidP="00C86892">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2.24</w:t>
            </w:r>
          </w:p>
        </w:tc>
        <w:tc>
          <w:tcPr>
            <w:tcW w:w="1224" w:type="dxa"/>
            <w:gridSpan w:val="2"/>
            <w:tcBorders>
              <w:top w:val="nil"/>
              <w:left w:val="nil"/>
              <w:bottom w:val="nil"/>
              <w:right w:val="nil"/>
            </w:tcBorders>
            <w:shd w:val="clear" w:color="auto" w:fill="auto"/>
            <w:noWrap/>
            <w:vAlign w:val="center"/>
            <w:hideMark/>
          </w:tcPr>
          <w:p w14:paraId="4EC169F1" w14:textId="258D754D" w:rsidR="00C86892" w:rsidRPr="00C86892" w:rsidRDefault="00C86892" w:rsidP="00C86892">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5.20</w:t>
            </w:r>
          </w:p>
        </w:tc>
        <w:tc>
          <w:tcPr>
            <w:tcW w:w="1225" w:type="dxa"/>
            <w:gridSpan w:val="2"/>
            <w:tcBorders>
              <w:top w:val="nil"/>
              <w:left w:val="nil"/>
              <w:bottom w:val="nil"/>
              <w:right w:val="nil"/>
            </w:tcBorders>
            <w:shd w:val="clear" w:color="auto" w:fill="auto"/>
            <w:noWrap/>
            <w:vAlign w:val="center"/>
            <w:hideMark/>
          </w:tcPr>
          <w:p w14:paraId="6D0A151F" w14:textId="3ED9C92A" w:rsidR="00C86892" w:rsidRPr="00C86892" w:rsidRDefault="00C86892" w:rsidP="00C86892">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1.56</w:t>
            </w:r>
          </w:p>
        </w:tc>
        <w:tc>
          <w:tcPr>
            <w:tcW w:w="1224" w:type="dxa"/>
            <w:gridSpan w:val="2"/>
            <w:tcBorders>
              <w:top w:val="nil"/>
              <w:left w:val="nil"/>
              <w:bottom w:val="nil"/>
              <w:right w:val="nil"/>
            </w:tcBorders>
            <w:shd w:val="clear" w:color="auto" w:fill="auto"/>
            <w:noWrap/>
            <w:vAlign w:val="center"/>
            <w:hideMark/>
          </w:tcPr>
          <w:p w14:paraId="36D9268C" w14:textId="440720F5" w:rsidR="00C86892" w:rsidRPr="00C86892" w:rsidRDefault="00C86892" w:rsidP="00C86892">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3.61</w:t>
            </w:r>
          </w:p>
        </w:tc>
        <w:tc>
          <w:tcPr>
            <w:tcW w:w="1224" w:type="dxa"/>
            <w:gridSpan w:val="2"/>
            <w:tcBorders>
              <w:top w:val="nil"/>
              <w:left w:val="nil"/>
              <w:bottom w:val="nil"/>
              <w:right w:val="nil"/>
            </w:tcBorders>
            <w:shd w:val="clear" w:color="auto" w:fill="auto"/>
            <w:noWrap/>
            <w:vAlign w:val="center"/>
            <w:hideMark/>
          </w:tcPr>
          <w:p w14:paraId="43A88C12" w14:textId="60882288" w:rsidR="00C86892" w:rsidRPr="00C86892" w:rsidRDefault="00C86892" w:rsidP="00C86892">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2.32</w:t>
            </w:r>
          </w:p>
        </w:tc>
        <w:tc>
          <w:tcPr>
            <w:tcW w:w="1225" w:type="dxa"/>
            <w:tcBorders>
              <w:top w:val="nil"/>
              <w:left w:val="nil"/>
              <w:bottom w:val="nil"/>
              <w:right w:val="nil"/>
            </w:tcBorders>
            <w:shd w:val="clear" w:color="auto" w:fill="auto"/>
            <w:noWrap/>
            <w:vAlign w:val="center"/>
            <w:hideMark/>
          </w:tcPr>
          <w:p w14:paraId="341265C2" w14:textId="61A198D7" w:rsidR="00C86892" w:rsidRPr="00C86892" w:rsidRDefault="00C86892" w:rsidP="00C86892">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2.62</w:t>
            </w:r>
          </w:p>
        </w:tc>
        <w:tc>
          <w:tcPr>
            <w:tcW w:w="1698" w:type="dxa"/>
            <w:tcBorders>
              <w:top w:val="nil"/>
              <w:left w:val="nil"/>
              <w:bottom w:val="nil"/>
              <w:right w:val="nil"/>
            </w:tcBorders>
            <w:shd w:val="clear" w:color="auto" w:fill="auto"/>
            <w:noWrap/>
            <w:vAlign w:val="center"/>
            <w:hideMark/>
          </w:tcPr>
          <w:p w14:paraId="40D68770" w14:textId="0F715D5B" w:rsidR="00C86892" w:rsidRPr="00C86892" w:rsidRDefault="00C86892" w:rsidP="00C86892">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0.393</w:t>
            </w:r>
          </w:p>
        </w:tc>
      </w:tr>
      <w:tr w:rsidR="000F7C00" w:rsidRPr="0097721A" w14:paraId="53EB05F9" w14:textId="77777777" w:rsidTr="00211FA3">
        <w:trPr>
          <w:trHeight w:val="120"/>
        </w:trPr>
        <w:tc>
          <w:tcPr>
            <w:tcW w:w="3916" w:type="dxa"/>
            <w:tcBorders>
              <w:top w:val="nil"/>
              <w:left w:val="nil"/>
              <w:bottom w:val="single" w:sz="4" w:space="0" w:color="auto"/>
              <w:right w:val="nil"/>
            </w:tcBorders>
            <w:shd w:val="clear" w:color="auto" w:fill="auto"/>
            <w:noWrap/>
            <w:vAlign w:val="bottom"/>
            <w:hideMark/>
          </w:tcPr>
          <w:p w14:paraId="5C991665" w14:textId="77777777" w:rsidR="000F7C00" w:rsidRPr="0097721A" w:rsidRDefault="000F7C00" w:rsidP="00211FA3">
            <w:pPr>
              <w:spacing w:after="0" w:line="240" w:lineRule="auto"/>
              <w:jc w:val="right"/>
              <w:rPr>
                <w:rFonts w:ascii="Times New Roman" w:eastAsia="Times New Roman" w:hAnsi="Times New Roman" w:cs="Times New Roman"/>
                <w:color w:val="000000"/>
              </w:rPr>
            </w:pPr>
            <w:r w:rsidRPr="0097721A">
              <w:rPr>
                <w:rFonts w:ascii="Times New Roman" w:eastAsia="Times New Roman" w:hAnsi="Times New Roman" w:cs="Times New Roman"/>
                <w:color w:val="000000"/>
              </w:rPr>
              <w:t> </w:t>
            </w:r>
          </w:p>
        </w:tc>
        <w:tc>
          <w:tcPr>
            <w:tcW w:w="956" w:type="dxa"/>
            <w:tcBorders>
              <w:top w:val="nil"/>
              <w:left w:val="nil"/>
              <w:bottom w:val="single" w:sz="4" w:space="0" w:color="auto"/>
              <w:right w:val="nil"/>
            </w:tcBorders>
            <w:shd w:val="clear" w:color="auto" w:fill="auto"/>
            <w:noWrap/>
            <w:vAlign w:val="bottom"/>
            <w:hideMark/>
          </w:tcPr>
          <w:p w14:paraId="77FD1AF9" w14:textId="77777777" w:rsidR="000F7C00" w:rsidRPr="0097721A" w:rsidRDefault="000F7C00" w:rsidP="00211FA3">
            <w:pPr>
              <w:spacing w:after="0" w:line="240" w:lineRule="auto"/>
              <w:jc w:val="right"/>
              <w:rPr>
                <w:rFonts w:ascii="Times New Roman" w:eastAsia="Times New Roman" w:hAnsi="Times New Roman" w:cs="Times New Roman"/>
                <w:color w:val="000000"/>
              </w:rPr>
            </w:pPr>
            <w:r w:rsidRPr="0097721A">
              <w:rPr>
                <w:rFonts w:ascii="Times New Roman" w:eastAsia="Times New Roman" w:hAnsi="Times New Roman" w:cs="Times New Roman"/>
                <w:color w:val="000000"/>
              </w:rPr>
              <w:t> </w:t>
            </w:r>
          </w:p>
        </w:tc>
        <w:tc>
          <w:tcPr>
            <w:tcW w:w="956" w:type="dxa"/>
            <w:gridSpan w:val="2"/>
            <w:tcBorders>
              <w:top w:val="nil"/>
              <w:left w:val="nil"/>
              <w:bottom w:val="single" w:sz="4" w:space="0" w:color="auto"/>
              <w:right w:val="nil"/>
            </w:tcBorders>
            <w:shd w:val="clear" w:color="auto" w:fill="auto"/>
            <w:noWrap/>
            <w:vAlign w:val="bottom"/>
            <w:hideMark/>
          </w:tcPr>
          <w:p w14:paraId="4400B88B" w14:textId="77777777" w:rsidR="000F7C00" w:rsidRPr="0097721A" w:rsidRDefault="000F7C00" w:rsidP="00211FA3">
            <w:pPr>
              <w:spacing w:after="0" w:line="240" w:lineRule="auto"/>
              <w:jc w:val="right"/>
              <w:rPr>
                <w:rFonts w:ascii="Times New Roman" w:eastAsia="Times New Roman" w:hAnsi="Times New Roman" w:cs="Times New Roman"/>
                <w:color w:val="000000"/>
              </w:rPr>
            </w:pPr>
            <w:r w:rsidRPr="0097721A">
              <w:rPr>
                <w:rFonts w:ascii="Times New Roman" w:eastAsia="Times New Roman" w:hAnsi="Times New Roman" w:cs="Times New Roman"/>
                <w:color w:val="000000"/>
              </w:rPr>
              <w:t> </w:t>
            </w:r>
          </w:p>
        </w:tc>
        <w:tc>
          <w:tcPr>
            <w:tcW w:w="1316" w:type="dxa"/>
            <w:gridSpan w:val="2"/>
            <w:tcBorders>
              <w:top w:val="nil"/>
              <w:left w:val="nil"/>
              <w:bottom w:val="single" w:sz="4" w:space="0" w:color="auto"/>
              <w:right w:val="nil"/>
            </w:tcBorders>
            <w:shd w:val="clear" w:color="auto" w:fill="auto"/>
            <w:noWrap/>
            <w:vAlign w:val="bottom"/>
            <w:hideMark/>
          </w:tcPr>
          <w:p w14:paraId="6AB49086" w14:textId="77777777" w:rsidR="000F7C00" w:rsidRPr="0097721A" w:rsidRDefault="000F7C00" w:rsidP="00211FA3">
            <w:pPr>
              <w:spacing w:after="0" w:line="240" w:lineRule="auto"/>
              <w:rPr>
                <w:rFonts w:ascii="Times New Roman" w:eastAsia="Times New Roman" w:hAnsi="Times New Roman" w:cs="Times New Roman"/>
                <w:color w:val="000000"/>
              </w:rPr>
            </w:pPr>
            <w:r w:rsidRPr="0097721A">
              <w:rPr>
                <w:rFonts w:ascii="Times New Roman" w:eastAsia="Times New Roman" w:hAnsi="Times New Roman" w:cs="Times New Roman"/>
                <w:color w:val="000000"/>
              </w:rPr>
              <w:t> </w:t>
            </w:r>
          </w:p>
        </w:tc>
        <w:tc>
          <w:tcPr>
            <w:tcW w:w="1285" w:type="dxa"/>
            <w:gridSpan w:val="2"/>
            <w:tcBorders>
              <w:top w:val="nil"/>
              <w:left w:val="nil"/>
              <w:bottom w:val="single" w:sz="4" w:space="0" w:color="auto"/>
              <w:right w:val="nil"/>
            </w:tcBorders>
            <w:shd w:val="clear" w:color="auto" w:fill="auto"/>
            <w:noWrap/>
            <w:vAlign w:val="bottom"/>
            <w:hideMark/>
          </w:tcPr>
          <w:p w14:paraId="2C195154" w14:textId="77777777" w:rsidR="000F7C00" w:rsidRPr="0097721A" w:rsidRDefault="000F7C00" w:rsidP="00211FA3">
            <w:pPr>
              <w:spacing w:after="0" w:line="240" w:lineRule="auto"/>
              <w:rPr>
                <w:rFonts w:ascii="Times New Roman" w:eastAsia="Times New Roman" w:hAnsi="Times New Roman" w:cs="Times New Roman"/>
                <w:color w:val="000000"/>
              </w:rPr>
            </w:pPr>
            <w:r w:rsidRPr="0097721A">
              <w:rPr>
                <w:rFonts w:ascii="Times New Roman" w:eastAsia="Times New Roman" w:hAnsi="Times New Roman" w:cs="Times New Roman"/>
                <w:color w:val="000000"/>
              </w:rPr>
              <w:t> </w:t>
            </w:r>
          </w:p>
        </w:tc>
        <w:tc>
          <w:tcPr>
            <w:tcW w:w="1331" w:type="dxa"/>
            <w:gridSpan w:val="2"/>
            <w:tcBorders>
              <w:top w:val="nil"/>
              <w:left w:val="nil"/>
              <w:bottom w:val="single" w:sz="4" w:space="0" w:color="auto"/>
              <w:right w:val="nil"/>
            </w:tcBorders>
            <w:shd w:val="clear" w:color="auto" w:fill="auto"/>
            <w:noWrap/>
            <w:vAlign w:val="bottom"/>
            <w:hideMark/>
          </w:tcPr>
          <w:p w14:paraId="6251C587" w14:textId="77777777" w:rsidR="000F7C00" w:rsidRPr="0097721A" w:rsidRDefault="000F7C00" w:rsidP="00211FA3">
            <w:pPr>
              <w:spacing w:after="0" w:line="240" w:lineRule="auto"/>
              <w:rPr>
                <w:rFonts w:ascii="Times New Roman" w:eastAsia="Times New Roman" w:hAnsi="Times New Roman" w:cs="Times New Roman"/>
                <w:color w:val="000000"/>
              </w:rPr>
            </w:pPr>
            <w:r w:rsidRPr="0097721A">
              <w:rPr>
                <w:rFonts w:ascii="Times New Roman" w:eastAsia="Times New Roman" w:hAnsi="Times New Roman" w:cs="Times New Roman"/>
                <w:color w:val="000000"/>
              </w:rPr>
              <w:t> </w:t>
            </w:r>
          </w:p>
        </w:tc>
        <w:tc>
          <w:tcPr>
            <w:tcW w:w="1502" w:type="dxa"/>
            <w:gridSpan w:val="2"/>
            <w:tcBorders>
              <w:top w:val="nil"/>
              <w:left w:val="nil"/>
              <w:bottom w:val="single" w:sz="4" w:space="0" w:color="auto"/>
              <w:right w:val="nil"/>
            </w:tcBorders>
            <w:shd w:val="clear" w:color="auto" w:fill="auto"/>
            <w:noWrap/>
            <w:vAlign w:val="bottom"/>
            <w:hideMark/>
          </w:tcPr>
          <w:p w14:paraId="7613A6DA" w14:textId="77777777" w:rsidR="000F7C00" w:rsidRPr="0097721A" w:rsidRDefault="000F7C00" w:rsidP="00211FA3">
            <w:pPr>
              <w:spacing w:after="0" w:line="240" w:lineRule="auto"/>
              <w:rPr>
                <w:rFonts w:ascii="Times New Roman" w:eastAsia="Times New Roman" w:hAnsi="Times New Roman" w:cs="Times New Roman"/>
                <w:color w:val="000000"/>
              </w:rPr>
            </w:pPr>
            <w:r w:rsidRPr="0097721A">
              <w:rPr>
                <w:rFonts w:ascii="Times New Roman" w:eastAsia="Times New Roman" w:hAnsi="Times New Roman" w:cs="Times New Roman"/>
                <w:color w:val="000000"/>
              </w:rPr>
              <w:t> </w:t>
            </w:r>
          </w:p>
        </w:tc>
        <w:tc>
          <w:tcPr>
            <w:tcW w:w="1698" w:type="dxa"/>
            <w:tcBorders>
              <w:top w:val="nil"/>
              <w:left w:val="nil"/>
              <w:bottom w:val="single" w:sz="4" w:space="0" w:color="auto"/>
              <w:right w:val="nil"/>
            </w:tcBorders>
            <w:shd w:val="clear" w:color="auto" w:fill="auto"/>
            <w:noWrap/>
            <w:vAlign w:val="bottom"/>
            <w:hideMark/>
          </w:tcPr>
          <w:p w14:paraId="6AF4FF17" w14:textId="77777777" w:rsidR="000F7C00" w:rsidRPr="0097721A" w:rsidRDefault="000F7C00" w:rsidP="00211FA3">
            <w:pPr>
              <w:spacing w:after="0" w:line="240" w:lineRule="auto"/>
              <w:rPr>
                <w:rFonts w:ascii="Calibri" w:eastAsia="Times New Roman" w:hAnsi="Calibri" w:cs="Calibri"/>
                <w:color w:val="000000"/>
              </w:rPr>
            </w:pPr>
            <w:r w:rsidRPr="0097721A">
              <w:rPr>
                <w:rFonts w:ascii="Calibri" w:eastAsia="Times New Roman" w:hAnsi="Calibri" w:cs="Calibri"/>
                <w:color w:val="000000"/>
              </w:rPr>
              <w:t> </w:t>
            </w:r>
          </w:p>
        </w:tc>
      </w:tr>
      <w:tr w:rsidR="000F7C00" w:rsidRPr="0097721A" w14:paraId="5BBE9F42" w14:textId="77777777" w:rsidTr="00211FA3">
        <w:trPr>
          <w:trHeight w:val="290"/>
        </w:trPr>
        <w:tc>
          <w:tcPr>
            <w:tcW w:w="12960" w:type="dxa"/>
            <w:gridSpan w:val="13"/>
            <w:tcBorders>
              <w:top w:val="nil"/>
              <w:left w:val="nil"/>
              <w:bottom w:val="nil"/>
              <w:right w:val="nil"/>
            </w:tcBorders>
            <w:shd w:val="clear" w:color="auto" w:fill="auto"/>
            <w:hideMark/>
          </w:tcPr>
          <w:p w14:paraId="7A50FB98" w14:textId="77777777" w:rsidR="000F7C00" w:rsidRDefault="000F7C00" w:rsidP="00211FA3">
            <w:pPr>
              <w:spacing w:before="120" w:after="0" w:line="240" w:lineRule="auto"/>
              <w:rPr>
                <w:rFonts w:ascii="Times New Roman" w:eastAsia="Times New Roman" w:hAnsi="Times New Roman" w:cs="Times New Roman"/>
                <w:color w:val="000000"/>
                <w:sz w:val="20"/>
                <w:szCs w:val="20"/>
              </w:rPr>
            </w:pPr>
            <w:r w:rsidRPr="00876B37">
              <w:rPr>
                <w:rFonts w:ascii="Times New Roman" w:eastAsia="Times New Roman" w:hAnsi="Times New Roman" w:cs="Times New Roman"/>
                <w:i/>
                <w:color w:val="000000"/>
                <w:sz w:val="20"/>
                <w:szCs w:val="20"/>
              </w:rPr>
              <w:t xml:space="preserve">Note: </w:t>
            </w:r>
            <w:r w:rsidRPr="0097721A">
              <w:rPr>
                <w:rFonts w:ascii="Times New Roman" w:eastAsia="Times New Roman" w:hAnsi="Times New Roman" w:cs="Times New Roman"/>
                <w:color w:val="000000"/>
                <w:sz w:val="20"/>
                <w:szCs w:val="20"/>
              </w:rPr>
              <w:t xml:space="preserve">These results exclude the relative wage narrowing of the BA/HS and AA/HS wage </w:t>
            </w:r>
            <w:proofErr w:type="spellStart"/>
            <w:r w:rsidRPr="0097721A">
              <w:rPr>
                <w:rFonts w:ascii="Times New Roman" w:eastAsia="Times New Roman" w:hAnsi="Times New Roman" w:cs="Times New Roman"/>
                <w:color w:val="000000"/>
                <w:sz w:val="20"/>
                <w:szCs w:val="20"/>
              </w:rPr>
              <w:t>premia</w:t>
            </w:r>
            <w:proofErr w:type="spellEnd"/>
            <w:r w:rsidRPr="0097721A">
              <w:rPr>
                <w:rFonts w:ascii="Times New Roman" w:eastAsia="Times New Roman" w:hAnsi="Times New Roman" w:cs="Times New Roman"/>
                <w:color w:val="000000"/>
                <w:sz w:val="20"/>
                <w:szCs w:val="20"/>
              </w:rPr>
              <w:t xml:space="preserve"> included in Tables 4a-d.</w:t>
            </w:r>
          </w:p>
          <w:p w14:paraId="0FD0E3C4" w14:textId="77777777" w:rsidR="000F7C00" w:rsidRPr="0097721A" w:rsidRDefault="000F7C00" w:rsidP="00211FA3">
            <w:pPr>
              <w:spacing w:before="120" w:after="0" w:line="240" w:lineRule="auto"/>
              <w:rPr>
                <w:rFonts w:ascii="Times New Roman" w:eastAsia="Times New Roman" w:hAnsi="Times New Roman" w:cs="Times New Roman"/>
                <w:color w:val="000000"/>
                <w:sz w:val="20"/>
                <w:szCs w:val="20"/>
              </w:rPr>
            </w:pPr>
            <w:r w:rsidRPr="00084E97">
              <w:rPr>
                <w:rFonts w:ascii="Times New Roman" w:eastAsia="Times New Roman" w:hAnsi="Times New Roman" w:cs="Times New Roman"/>
                <w:i/>
                <w:color w:val="000000"/>
                <w:sz w:val="20"/>
                <w:szCs w:val="20"/>
              </w:rPr>
              <w:t>Source</w:t>
            </w:r>
            <w:r w:rsidRPr="00293520">
              <w:rPr>
                <w:rFonts w:ascii="Times New Roman" w:eastAsia="Times New Roman" w:hAnsi="Times New Roman" w:cs="Times New Roman"/>
                <w:color w:val="000000"/>
                <w:sz w:val="20"/>
                <w:szCs w:val="20"/>
              </w:rPr>
              <w:t>: Authors’ calculations of March Current Population Survey 1980 and 2019 (Flood et al., 2019).</w:t>
            </w:r>
          </w:p>
        </w:tc>
      </w:tr>
    </w:tbl>
    <w:p w14:paraId="3AF084A3" w14:textId="77777777" w:rsidR="000F7C00" w:rsidRDefault="000F7C00" w:rsidP="000F7C00">
      <w:pPr>
        <w:jc w:val="center"/>
        <w:rPr>
          <w:rFonts w:ascii="Times New Roman" w:hAnsi="Times New Roman" w:cs="Times New Roman"/>
        </w:rPr>
      </w:pPr>
    </w:p>
    <w:p w14:paraId="381D3D01" w14:textId="77777777" w:rsidR="000F7C00" w:rsidRDefault="000F7C00" w:rsidP="000F7C00">
      <w:pPr>
        <w:rPr>
          <w:rFonts w:ascii="Times New Roman" w:hAnsi="Times New Roman" w:cs="Times New Roman"/>
        </w:rPr>
      </w:pPr>
      <w:r>
        <w:rPr>
          <w:rFonts w:ascii="Times New Roman" w:hAnsi="Times New Roman" w:cs="Times New Roman"/>
        </w:rPr>
        <w:br w:type="page"/>
      </w:r>
    </w:p>
    <w:tbl>
      <w:tblPr>
        <w:tblW w:w="12960" w:type="dxa"/>
        <w:tblLook w:val="04A0" w:firstRow="1" w:lastRow="0" w:firstColumn="1" w:lastColumn="0" w:noHBand="0" w:noVBand="1"/>
      </w:tblPr>
      <w:tblGrid>
        <w:gridCol w:w="4054"/>
        <w:gridCol w:w="998"/>
        <w:gridCol w:w="219"/>
        <w:gridCol w:w="779"/>
        <w:gridCol w:w="439"/>
        <w:gridCol w:w="861"/>
        <w:gridCol w:w="357"/>
        <w:gridCol w:w="1054"/>
        <w:gridCol w:w="164"/>
        <w:gridCol w:w="1136"/>
        <w:gridCol w:w="82"/>
        <w:gridCol w:w="1218"/>
        <w:gridCol w:w="1599"/>
      </w:tblGrid>
      <w:tr w:rsidR="000F7C00" w:rsidRPr="00540907" w14:paraId="6F2C7825" w14:textId="77777777" w:rsidTr="00211FA3">
        <w:trPr>
          <w:trHeight w:val="290"/>
        </w:trPr>
        <w:tc>
          <w:tcPr>
            <w:tcW w:w="12960" w:type="dxa"/>
            <w:gridSpan w:val="13"/>
            <w:tcBorders>
              <w:top w:val="nil"/>
              <w:left w:val="nil"/>
              <w:bottom w:val="single" w:sz="4" w:space="0" w:color="auto"/>
              <w:right w:val="nil"/>
            </w:tcBorders>
            <w:shd w:val="clear" w:color="auto" w:fill="auto"/>
            <w:noWrap/>
            <w:vAlign w:val="bottom"/>
            <w:hideMark/>
          </w:tcPr>
          <w:p w14:paraId="54BA1665" w14:textId="77777777" w:rsidR="000F7C00" w:rsidRPr="00C07E62" w:rsidRDefault="000F7C00" w:rsidP="00211FA3">
            <w:pPr>
              <w:spacing w:after="0" w:line="240" w:lineRule="auto"/>
              <w:rPr>
                <w:rFonts w:ascii="Times New Roman" w:eastAsia="Times New Roman" w:hAnsi="Times New Roman" w:cs="Times New Roman"/>
                <w:b/>
                <w:bCs/>
                <w:color w:val="000000"/>
                <w:sz w:val="24"/>
                <w:szCs w:val="24"/>
              </w:rPr>
            </w:pPr>
            <w:r w:rsidRPr="00C07E62">
              <w:rPr>
                <w:rFonts w:ascii="Times New Roman" w:eastAsia="Times New Roman" w:hAnsi="Times New Roman" w:cs="Times New Roman"/>
                <w:b/>
                <w:bCs/>
                <w:color w:val="000000"/>
                <w:sz w:val="24"/>
                <w:szCs w:val="24"/>
              </w:rPr>
              <w:lastRenderedPageBreak/>
              <w:t xml:space="preserve">Table A.3: Observed and Simulated Earnings Ratios: Full-Time, Full-Year Workers, </w:t>
            </w:r>
          </w:p>
          <w:p w14:paraId="01FA0207" w14:textId="77777777" w:rsidR="000F7C00" w:rsidRPr="00C07E62" w:rsidRDefault="000F7C00" w:rsidP="00211FA3">
            <w:pPr>
              <w:spacing w:after="0" w:line="240" w:lineRule="auto"/>
              <w:rPr>
                <w:rFonts w:ascii="Times New Roman" w:eastAsia="Times New Roman" w:hAnsi="Times New Roman" w:cs="Times New Roman"/>
                <w:b/>
                <w:bCs/>
                <w:color w:val="000000"/>
                <w:sz w:val="24"/>
                <w:szCs w:val="24"/>
              </w:rPr>
            </w:pPr>
            <w:r w:rsidRPr="00C07E62">
              <w:rPr>
                <w:rFonts w:ascii="Times New Roman" w:eastAsia="Times New Roman" w:hAnsi="Times New Roman" w:cs="Times New Roman"/>
                <w:b/>
                <w:bCs/>
                <w:color w:val="000000"/>
                <w:sz w:val="24"/>
                <w:szCs w:val="24"/>
              </w:rPr>
              <w:t>Using Relative Wage Effects Estimated over 1963</w:t>
            </w:r>
            <w:r w:rsidRPr="00C07E62">
              <w:rPr>
                <w:rFonts w:ascii="Times New Roman" w:eastAsia="Times New Roman" w:hAnsi="Times New Roman" w:cs="Times New Roman"/>
                <w:b/>
                <w:bCs/>
                <w:color w:val="000000"/>
                <w:sz w:val="24"/>
                <w:szCs w:val="24"/>
              </w:rPr>
              <w:sym w:font="Symbol" w:char="F02D"/>
            </w:r>
            <w:r w:rsidRPr="00C07E62">
              <w:rPr>
                <w:rFonts w:ascii="Times New Roman" w:eastAsia="Times New Roman" w:hAnsi="Times New Roman" w:cs="Times New Roman"/>
                <w:b/>
                <w:bCs/>
                <w:color w:val="000000"/>
                <w:sz w:val="24"/>
                <w:szCs w:val="24"/>
              </w:rPr>
              <w:t xml:space="preserve">2018 Data </w:t>
            </w:r>
          </w:p>
        </w:tc>
      </w:tr>
      <w:tr w:rsidR="000F7C00" w:rsidRPr="00540907" w14:paraId="419B0871" w14:textId="77777777" w:rsidTr="00211FA3">
        <w:trPr>
          <w:trHeight w:val="850"/>
        </w:trPr>
        <w:tc>
          <w:tcPr>
            <w:tcW w:w="4054" w:type="dxa"/>
            <w:tcBorders>
              <w:top w:val="nil"/>
              <w:left w:val="nil"/>
              <w:bottom w:val="single" w:sz="4" w:space="0" w:color="auto"/>
              <w:right w:val="nil"/>
            </w:tcBorders>
            <w:shd w:val="clear" w:color="auto" w:fill="auto"/>
            <w:noWrap/>
            <w:vAlign w:val="bottom"/>
            <w:hideMark/>
          </w:tcPr>
          <w:p w14:paraId="180A06BA" w14:textId="77777777" w:rsidR="000F7C00" w:rsidRPr="00C07E62" w:rsidRDefault="000F7C00" w:rsidP="00211FA3">
            <w:pPr>
              <w:spacing w:after="0" w:line="240" w:lineRule="auto"/>
              <w:rPr>
                <w:rFonts w:ascii="Times New Roman" w:eastAsia="Times New Roman" w:hAnsi="Times New Roman" w:cs="Times New Roman"/>
                <w:b/>
                <w:bCs/>
                <w:color w:val="000000"/>
                <w:sz w:val="24"/>
                <w:szCs w:val="24"/>
              </w:rPr>
            </w:pPr>
            <w:r w:rsidRPr="00C07E62">
              <w:rPr>
                <w:rFonts w:ascii="Times New Roman" w:eastAsia="Times New Roman" w:hAnsi="Times New Roman" w:cs="Times New Roman"/>
                <w:b/>
                <w:bCs/>
                <w:color w:val="000000"/>
                <w:sz w:val="24"/>
                <w:szCs w:val="24"/>
              </w:rPr>
              <w:t> </w:t>
            </w:r>
          </w:p>
        </w:tc>
        <w:tc>
          <w:tcPr>
            <w:tcW w:w="1217" w:type="dxa"/>
            <w:gridSpan w:val="2"/>
            <w:tcBorders>
              <w:top w:val="nil"/>
              <w:left w:val="nil"/>
              <w:bottom w:val="single" w:sz="4" w:space="0" w:color="auto"/>
              <w:right w:val="nil"/>
            </w:tcBorders>
            <w:shd w:val="clear" w:color="auto" w:fill="auto"/>
            <w:noWrap/>
            <w:vAlign w:val="bottom"/>
            <w:hideMark/>
          </w:tcPr>
          <w:p w14:paraId="53B0CB89" w14:textId="77777777" w:rsidR="000F7C00" w:rsidRPr="00C07E62" w:rsidRDefault="000F7C00" w:rsidP="00211FA3">
            <w:pPr>
              <w:spacing w:after="0" w:line="240" w:lineRule="auto"/>
              <w:jc w:val="right"/>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r50/10</w:t>
            </w:r>
          </w:p>
        </w:tc>
        <w:tc>
          <w:tcPr>
            <w:tcW w:w="1218" w:type="dxa"/>
            <w:gridSpan w:val="2"/>
            <w:tcBorders>
              <w:top w:val="nil"/>
              <w:left w:val="nil"/>
              <w:bottom w:val="single" w:sz="4" w:space="0" w:color="auto"/>
              <w:right w:val="nil"/>
            </w:tcBorders>
            <w:shd w:val="clear" w:color="auto" w:fill="auto"/>
            <w:noWrap/>
            <w:vAlign w:val="bottom"/>
            <w:hideMark/>
          </w:tcPr>
          <w:p w14:paraId="407D28ED" w14:textId="77777777" w:rsidR="000F7C00" w:rsidRPr="00C07E62" w:rsidRDefault="000F7C00" w:rsidP="00211FA3">
            <w:pPr>
              <w:spacing w:after="0" w:line="240" w:lineRule="auto"/>
              <w:jc w:val="right"/>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r90/10</w:t>
            </w:r>
          </w:p>
        </w:tc>
        <w:tc>
          <w:tcPr>
            <w:tcW w:w="1218" w:type="dxa"/>
            <w:gridSpan w:val="2"/>
            <w:tcBorders>
              <w:top w:val="nil"/>
              <w:left w:val="nil"/>
              <w:bottom w:val="single" w:sz="4" w:space="0" w:color="auto"/>
              <w:right w:val="nil"/>
            </w:tcBorders>
            <w:shd w:val="clear" w:color="auto" w:fill="auto"/>
            <w:noWrap/>
            <w:vAlign w:val="bottom"/>
            <w:hideMark/>
          </w:tcPr>
          <w:p w14:paraId="1C97E3FE" w14:textId="77777777" w:rsidR="000F7C00" w:rsidRPr="00C07E62" w:rsidRDefault="000F7C00" w:rsidP="00211FA3">
            <w:pPr>
              <w:spacing w:after="0" w:line="240" w:lineRule="auto"/>
              <w:jc w:val="right"/>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r50/25</w:t>
            </w:r>
          </w:p>
        </w:tc>
        <w:tc>
          <w:tcPr>
            <w:tcW w:w="1218" w:type="dxa"/>
            <w:gridSpan w:val="2"/>
            <w:tcBorders>
              <w:top w:val="nil"/>
              <w:left w:val="nil"/>
              <w:bottom w:val="single" w:sz="4" w:space="0" w:color="auto"/>
              <w:right w:val="nil"/>
            </w:tcBorders>
            <w:shd w:val="clear" w:color="auto" w:fill="auto"/>
            <w:noWrap/>
            <w:vAlign w:val="bottom"/>
            <w:hideMark/>
          </w:tcPr>
          <w:p w14:paraId="0A123D3A" w14:textId="77777777" w:rsidR="000F7C00" w:rsidRPr="00C07E62" w:rsidRDefault="000F7C00" w:rsidP="00211FA3">
            <w:pPr>
              <w:spacing w:after="0" w:line="240" w:lineRule="auto"/>
              <w:jc w:val="right"/>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r90/25</w:t>
            </w:r>
          </w:p>
        </w:tc>
        <w:tc>
          <w:tcPr>
            <w:tcW w:w="1218" w:type="dxa"/>
            <w:gridSpan w:val="2"/>
            <w:tcBorders>
              <w:top w:val="nil"/>
              <w:left w:val="nil"/>
              <w:bottom w:val="single" w:sz="4" w:space="0" w:color="auto"/>
              <w:right w:val="nil"/>
            </w:tcBorders>
            <w:shd w:val="clear" w:color="auto" w:fill="auto"/>
            <w:noWrap/>
            <w:vAlign w:val="bottom"/>
            <w:hideMark/>
          </w:tcPr>
          <w:p w14:paraId="78C38527" w14:textId="77777777" w:rsidR="000F7C00" w:rsidRPr="00C07E62" w:rsidRDefault="000F7C00" w:rsidP="00211FA3">
            <w:pPr>
              <w:spacing w:after="0" w:line="240" w:lineRule="auto"/>
              <w:jc w:val="right"/>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r90/50</w:t>
            </w:r>
          </w:p>
        </w:tc>
        <w:tc>
          <w:tcPr>
            <w:tcW w:w="1218" w:type="dxa"/>
            <w:tcBorders>
              <w:top w:val="nil"/>
              <w:left w:val="nil"/>
              <w:bottom w:val="single" w:sz="4" w:space="0" w:color="auto"/>
              <w:right w:val="nil"/>
            </w:tcBorders>
            <w:shd w:val="clear" w:color="auto" w:fill="auto"/>
            <w:noWrap/>
            <w:vAlign w:val="bottom"/>
            <w:hideMark/>
          </w:tcPr>
          <w:p w14:paraId="7FD81403" w14:textId="77777777" w:rsidR="000F7C00" w:rsidRPr="00C07E62" w:rsidRDefault="000F7C00" w:rsidP="00211FA3">
            <w:pPr>
              <w:spacing w:after="0" w:line="240" w:lineRule="auto"/>
              <w:jc w:val="right"/>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r99/90</w:t>
            </w:r>
          </w:p>
        </w:tc>
        <w:tc>
          <w:tcPr>
            <w:tcW w:w="1599" w:type="dxa"/>
            <w:tcBorders>
              <w:top w:val="nil"/>
              <w:left w:val="nil"/>
              <w:bottom w:val="single" w:sz="4" w:space="0" w:color="auto"/>
              <w:right w:val="nil"/>
            </w:tcBorders>
            <w:shd w:val="clear" w:color="auto" w:fill="auto"/>
            <w:vAlign w:val="bottom"/>
            <w:hideMark/>
          </w:tcPr>
          <w:p w14:paraId="1F84B832" w14:textId="77777777" w:rsidR="000F7C00" w:rsidRPr="00C07E62" w:rsidRDefault="000F7C00" w:rsidP="00211FA3">
            <w:pPr>
              <w:spacing w:after="0" w:line="240" w:lineRule="auto"/>
              <w:jc w:val="right"/>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Gini Coefficient</w:t>
            </w:r>
          </w:p>
        </w:tc>
      </w:tr>
      <w:tr w:rsidR="000F7C00" w:rsidRPr="00540907" w14:paraId="2AEF624E" w14:textId="77777777" w:rsidTr="00211FA3">
        <w:trPr>
          <w:trHeight w:val="290"/>
        </w:trPr>
        <w:tc>
          <w:tcPr>
            <w:tcW w:w="4054" w:type="dxa"/>
            <w:tcBorders>
              <w:top w:val="nil"/>
              <w:left w:val="nil"/>
              <w:bottom w:val="nil"/>
              <w:right w:val="nil"/>
            </w:tcBorders>
            <w:shd w:val="clear" w:color="auto" w:fill="auto"/>
            <w:noWrap/>
            <w:vAlign w:val="bottom"/>
            <w:hideMark/>
          </w:tcPr>
          <w:p w14:paraId="739FAC51" w14:textId="77777777" w:rsidR="000F7C00" w:rsidRPr="00C07E62" w:rsidRDefault="000F7C00" w:rsidP="00211FA3">
            <w:pPr>
              <w:spacing w:after="0" w:line="240" w:lineRule="auto"/>
              <w:jc w:val="center"/>
              <w:rPr>
                <w:rFonts w:ascii="Times New Roman" w:eastAsia="Times New Roman" w:hAnsi="Times New Roman" w:cs="Times New Roman"/>
                <w:color w:val="000000"/>
                <w:sz w:val="24"/>
                <w:szCs w:val="24"/>
              </w:rPr>
            </w:pPr>
          </w:p>
        </w:tc>
        <w:tc>
          <w:tcPr>
            <w:tcW w:w="1217" w:type="dxa"/>
            <w:gridSpan w:val="2"/>
            <w:tcBorders>
              <w:top w:val="nil"/>
              <w:left w:val="nil"/>
              <w:bottom w:val="nil"/>
              <w:right w:val="nil"/>
            </w:tcBorders>
            <w:shd w:val="clear" w:color="auto" w:fill="auto"/>
            <w:noWrap/>
            <w:vAlign w:val="bottom"/>
            <w:hideMark/>
          </w:tcPr>
          <w:p w14:paraId="4FA29463" w14:textId="77777777" w:rsidR="000F7C00" w:rsidRPr="00C07E62" w:rsidRDefault="000F7C00" w:rsidP="00211FA3">
            <w:pPr>
              <w:spacing w:after="0" w:line="240" w:lineRule="auto"/>
              <w:rPr>
                <w:rFonts w:ascii="Times New Roman" w:eastAsia="Times New Roman" w:hAnsi="Times New Roman" w:cs="Times New Roman"/>
                <w:sz w:val="24"/>
                <w:szCs w:val="24"/>
              </w:rPr>
            </w:pPr>
          </w:p>
        </w:tc>
        <w:tc>
          <w:tcPr>
            <w:tcW w:w="1218" w:type="dxa"/>
            <w:gridSpan w:val="2"/>
            <w:tcBorders>
              <w:top w:val="nil"/>
              <w:left w:val="nil"/>
              <w:bottom w:val="nil"/>
              <w:right w:val="nil"/>
            </w:tcBorders>
            <w:shd w:val="clear" w:color="auto" w:fill="auto"/>
            <w:noWrap/>
            <w:vAlign w:val="bottom"/>
            <w:hideMark/>
          </w:tcPr>
          <w:p w14:paraId="2B2388A3" w14:textId="77777777" w:rsidR="000F7C00" w:rsidRPr="00C07E62" w:rsidRDefault="000F7C00" w:rsidP="00211FA3">
            <w:pPr>
              <w:spacing w:after="0" w:line="240" w:lineRule="auto"/>
              <w:rPr>
                <w:rFonts w:ascii="Times New Roman" w:eastAsia="Times New Roman" w:hAnsi="Times New Roman" w:cs="Times New Roman"/>
                <w:sz w:val="24"/>
                <w:szCs w:val="24"/>
              </w:rPr>
            </w:pPr>
          </w:p>
        </w:tc>
        <w:tc>
          <w:tcPr>
            <w:tcW w:w="1218" w:type="dxa"/>
            <w:gridSpan w:val="2"/>
            <w:tcBorders>
              <w:top w:val="nil"/>
              <w:left w:val="nil"/>
              <w:bottom w:val="nil"/>
              <w:right w:val="nil"/>
            </w:tcBorders>
            <w:shd w:val="clear" w:color="auto" w:fill="auto"/>
            <w:noWrap/>
            <w:vAlign w:val="bottom"/>
            <w:hideMark/>
          </w:tcPr>
          <w:p w14:paraId="0D3D938F" w14:textId="77777777" w:rsidR="000F7C00" w:rsidRPr="00C07E62" w:rsidRDefault="000F7C00" w:rsidP="00211FA3">
            <w:pPr>
              <w:spacing w:after="0" w:line="240" w:lineRule="auto"/>
              <w:rPr>
                <w:rFonts w:ascii="Times New Roman" w:eastAsia="Times New Roman" w:hAnsi="Times New Roman" w:cs="Times New Roman"/>
                <w:sz w:val="24"/>
                <w:szCs w:val="24"/>
              </w:rPr>
            </w:pPr>
          </w:p>
        </w:tc>
        <w:tc>
          <w:tcPr>
            <w:tcW w:w="1218" w:type="dxa"/>
            <w:gridSpan w:val="2"/>
            <w:tcBorders>
              <w:top w:val="nil"/>
              <w:left w:val="nil"/>
              <w:bottom w:val="nil"/>
              <w:right w:val="nil"/>
            </w:tcBorders>
            <w:shd w:val="clear" w:color="auto" w:fill="auto"/>
            <w:noWrap/>
            <w:vAlign w:val="bottom"/>
            <w:hideMark/>
          </w:tcPr>
          <w:p w14:paraId="0E528D39" w14:textId="77777777" w:rsidR="000F7C00" w:rsidRPr="00C07E62" w:rsidRDefault="000F7C00" w:rsidP="00211FA3">
            <w:pPr>
              <w:spacing w:after="0" w:line="240" w:lineRule="auto"/>
              <w:rPr>
                <w:rFonts w:ascii="Times New Roman" w:eastAsia="Times New Roman" w:hAnsi="Times New Roman" w:cs="Times New Roman"/>
                <w:sz w:val="24"/>
                <w:szCs w:val="24"/>
              </w:rPr>
            </w:pPr>
          </w:p>
        </w:tc>
        <w:tc>
          <w:tcPr>
            <w:tcW w:w="1218" w:type="dxa"/>
            <w:gridSpan w:val="2"/>
            <w:tcBorders>
              <w:top w:val="nil"/>
              <w:left w:val="nil"/>
              <w:bottom w:val="nil"/>
              <w:right w:val="nil"/>
            </w:tcBorders>
            <w:shd w:val="clear" w:color="auto" w:fill="auto"/>
            <w:noWrap/>
            <w:vAlign w:val="bottom"/>
            <w:hideMark/>
          </w:tcPr>
          <w:p w14:paraId="100086FF" w14:textId="77777777" w:rsidR="000F7C00" w:rsidRPr="00C07E62" w:rsidRDefault="000F7C00" w:rsidP="00211FA3">
            <w:pPr>
              <w:spacing w:after="0" w:line="240" w:lineRule="auto"/>
              <w:rPr>
                <w:rFonts w:ascii="Times New Roman" w:eastAsia="Times New Roman" w:hAnsi="Times New Roman" w:cs="Times New Roman"/>
                <w:sz w:val="24"/>
                <w:szCs w:val="24"/>
              </w:rPr>
            </w:pPr>
          </w:p>
        </w:tc>
        <w:tc>
          <w:tcPr>
            <w:tcW w:w="1218" w:type="dxa"/>
            <w:tcBorders>
              <w:top w:val="nil"/>
              <w:left w:val="nil"/>
              <w:bottom w:val="nil"/>
              <w:right w:val="nil"/>
            </w:tcBorders>
            <w:shd w:val="clear" w:color="auto" w:fill="auto"/>
            <w:noWrap/>
            <w:vAlign w:val="bottom"/>
            <w:hideMark/>
          </w:tcPr>
          <w:p w14:paraId="7F479C74" w14:textId="77777777" w:rsidR="000F7C00" w:rsidRPr="00C07E62" w:rsidRDefault="000F7C00" w:rsidP="00211FA3">
            <w:pPr>
              <w:spacing w:after="0" w:line="240" w:lineRule="auto"/>
              <w:rPr>
                <w:rFonts w:ascii="Times New Roman" w:eastAsia="Times New Roman" w:hAnsi="Times New Roman" w:cs="Times New Roman"/>
                <w:sz w:val="24"/>
                <w:szCs w:val="24"/>
              </w:rPr>
            </w:pPr>
          </w:p>
        </w:tc>
        <w:tc>
          <w:tcPr>
            <w:tcW w:w="1599" w:type="dxa"/>
            <w:tcBorders>
              <w:top w:val="nil"/>
              <w:left w:val="nil"/>
              <w:bottom w:val="nil"/>
              <w:right w:val="nil"/>
            </w:tcBorders>
            <w:shd w:val="clear" w:color="auto" w:fill="auto"/>
            <w:noWrap/>
            <w:vAlign w:val="bottom"/>
            <w:hideMark/>
          </w:tcPr>
          <w:p w14:paraId="794A1AB4" w14:textId="77777777" w:rsidR="000F7C00" w:rsidRPr="00C07E62" w:rsidRDefault="000F7C00" w:rsidP="00211FA3">
            <w:pPr>
              <w:spacing w:after="0" w:line="240" w:lineRule="auto"/>
              <w:rPr>
                <w:rFonts w:ascii="Times New Roman" w:eastAsia="Times New Roman" w:hAnsi="Times New Roman" w:cs="Times New Roman"/>
                <w:sz w:val="24"/>
                <w:szCs w:val="24"/>
              </w:rPr>
            </w:pPr>
          </w:p>
        </w:tc>
      </w:tr>
      <w:tr w:rsidR="000F7C00" w:rsidRPr="00540907" w14:paraId="3055F8BE" w14:textId="77777777" w:rsidTr="00211FA3">
        <w:trPr>
          <w:trHeight w:val="290"/>
        </w:trPr>
        <w:tc>
          <w:tcPr>
            <w:tcW w:w="4054" w:type="dxa"/>
            <w:tcBorders>
              <w:top w:val="nil"/>
              <w:left w:val="nil"/>
              <w:bottom w:val="nil"/>
              <w:right w:val="nil"/>
            </w:tcBorders>
            <w:shd w:val="clear" w:color="auto" w:fill="auto"/>
            <w:noWrap/>
            <w:vAlign w:val="bottom"/>
            <w:hideMark/>
          </w:tcPr>
          <w:p w14:paraId="3C9B0801" w14:textId="77777777" w:rsidR="000F7C00" w:rsidRPr="00C07E62" w:rsidRDefault="000F7C00" w:rsidP="00211FA3">
            <w:pPr>
              <w:spacing w:after="0" w:line="240" w:lineRule="auto"/>
              <w:rPr>
                <w:rFonts w:ascii="Times New Roman" w:eastAsia="Times New Roman" w:hAnsi="Times New Roman" w:cs="Times New Roman"/>
                <w:color w:val="000000"/>
                <w:sz w:val="24"/>
                <w:szCs w:val="24"/>
              </w:rPr>
            </w:pPr>
            <w:r w:rsidRPr="00C07E62">
              <w:rPr>
                <w:rFonts w:ascii="Times New Roman" w:eastAsia="Times New Roman" w:hAnsi="Times New Roman" w:cs="Times New Roman"/>
                <w:b/>
                <w:color w:val="000000"/>
                <w:sz w:val="24"/>
                <w:szCs w:val="24"/>
              </w:rPr>
              <w:t>Panel A: Observed</w:t>
            </w:r>
          </w:p>
        </w:tc>
        <w:tc>
          <w:tcPr>
            <w:tcW w:w="1217" w:type="dxa"/>
            <w:gridSpan w:val="2"/>
            <w:tcBorders>
              <w:top w:val="nil"/>
              <w:left w:val="nil"/>
              <w:bottom w:val="nil"/>
              <w:right w:val="nil"/>
            </w:tcBorders>
            <w:shd w:val="clear" w:color="auto" w:fill="auto"/>
            <w:noWrap/>
            <w:vAlign w:val="bottom"/>
            <w:hideMark/>
          </w:tcPr>
          <w:p w14:paraId="228ED4A6" w14:textId="77777777" w:rsidR="000F7C00" w:rsidRPr="00C07E62" w:rsidRDefault="000F7C00" w:rsidP="00211FA3">
            <w:pPr>
              <w:spacing w:after="0" w:line="240" w:lineRule="auto"/>
              <w:rPr>
                <w:rFonts w:ascii="Times New Roman" w:eastAsia="Times New Roman" w:hAnsi="Times New Roman" w:cs="Times New Roman"/>
                <w:color w:val="000000"/>
                <w:sz w:val="24"/>
                <w:szCs w:val="24"/>
              </w:rPr>
            </w:pPr>
          </w:p>
        </w:tc>
        <w:tc>
          <w:tcPr>
            <w:tcW w:w="1218" w:type="dxa"/>
            <w:gridSpan w:val="2"/>
            <w:tcBorders>
              <w:top w:val="nil"/>
              <w:left w:val="nil"/>
              <w:bottom w:val="nil"/>
              <w:right w:val="nil"/>
            </w:tcBorders>
            <w:shd w:val="clear" w:color="auto" w:fill="auto"/>
            <w:noWrap/>
            <w:vAlign w:val="bottom"/>
            <w:hideMark/>
          </w:tcPr>
          <w:p w14:paraId="5C80A651" w14:textId="77777777" w:rsidR="000F7C00" w:rsidRPr="00C07E62" w:rsidRDefault="000F7C00" w:rsidP="00211FA3">
            <w:pPr>
              <w:spacing w:after="0" w:line="240" w:lineRule="auto"/>
              <w:rPr>
                <w:rFonts w:ascii="Times New Roman" w:eastAsia="Times New Roman" w:hAnsi="Times New Roman" w:cs="Times New Roman"/>
                <w:sz w:val="24"/>
                <w:szCs w:val="24"/>
              </w:rPr>
            </w:pPr>
          </w:p>
        </w:tc>
        <w:tc>
          <w:tcPr>
            <w:tcW w:w="1218" w:type="dxa"/>
            <w:gridSpan w:val="2"/>
            <w:tcBorders>
              <w:top w:val="nil"/>
              <w:left w:val="nil"/>
              <w:bottom w:val="nil"/>
              <w:right w:val="nil"/>
            </w:tcBorders>
            <w:shd w:val="clear" w:color="auto" w:fill="auto"/>
            <w:vAlign w:val="bottom"/>
            <w:hideMark/>
          </w:tcPr>
          <w:p w14:paraId="4E794C3D" w14:textId="77777777" w:rsidR="000F7C00" w:rsidRPr="00C07E62" w:rsidRDefault="000F7C00" w:rsidP="00211FA3">
            <w:pPr>
              <w:spacing w:after="0" w:line="240" w:lineRule="auto"/>
              <w:rPr>
                <w:rFonts w:ascii="Times New Roman" w:eastAsia="Times New Roman" w:hAnsi="Times New Roman" w:cs="Times New Roman"/>
                <w:sz w:val="24"/>
                <w:szCs w:val="24"/>
              </w:rPr>
            </w:pPr>
          </w:p>
        </w:tc>
        <w:tc>
          <w:tcPr>
            <w:tcW w:w="1218" w:type="dxa"/>
            <w:gridSpan w:val="2"/>
            <w:tcBorders>
              <w:top w:val="nil"/>
              <w:left w:val="nil"/>
              <w:bottom w:val="nil"/>
              <w:right w:val="nil"/>
            </w:tcBorders>
            <w:shd w:val="clear" w:color="auto" w:fill="auto"/>
            <w:vAlign w:val="bottom"/>
            <w:hideMark/>
          </w:tcPr>
          <w:p w14:paraId="1E6E9FB2" w14:textId="77777777" w:rsidR="000F7C00" w:rsidRPr="00C07E62" w:rsidRDefault="000F7C00" w:rsidP="00211FA3">
            <w:pPr>
              <w:spacing w:after="0" w:line="240" w:lineRule="auto"/>
              <w:rPr>
                <w:rFonts w:ascii="Times New Roman" w:eastAsia="Times New Roman" w:hAnsi="Times New Roman" w:cs="Times New Roman"/>
                <w:sz w:val="24"/>
                <w:szCs w:val="24"/>
              </w:rPr>
            </w:pPr>
          </w:p>
        </w:tc>
        <w:tc>
          <w:tcPr>
            <w:tcW w:w="1218" w:type="dxa"/>
            <w:gridSpan w:val="2"/>
            <w:tcBorders>
              <w:top w:val="nil"/>
              <w:left w:val="nil"/>
              <w:bottom w:val="nil"/>
              <w:right w:val="nil"/>
            </w:tcBorders>
            <w:shd w:val="clear" w:color="auto" w:fill="auto"/>
            <w:vAlign w:val="bottom"/>
            <w:hideMark/>
          </w:tcPr>
          <w:p w14:paraId="14F139D9" w14:textId="77777777" w:rsidR="000F7C00" w:rsidRPr="00C07E62" w:rsidRDefault="000F7C00" w:rsidP="00211FA3">
            <w:pPr>
              <w:spacing w:after="0" w:line="240" w:lineRule="auto"/>
              <w:rPr>
                <w:rFonts w:ascii="Times New Roman" w:eastAsia="Times New Roman" w:hAnsi="Times New Roman" w:cs="Times New Roman"/>
                <w:sz w:val="24"/>
                <w:szCs w:val="24"/>
              </w:rPr>
            </w:pPr>
          </w:p>
        </w:tc>
        <w:tc>
          <w:tcPr>
            <w:tcW w:w="1218" w:type="dxa"/>
            <w:tcBorders>
              <w:top w:val="nil"/>
              <w:left w:val="nil"/>
              <w:bottom w:val="nil"/>
              <w:right w:val="nil"/>
            </w:tcBorders>
            <w:shd w:val="clear" w:color="auto" w:fill="auto"/>
            <w:vAlign w:val="bottom"/>
            <w:hideMark/>
          </w:tcPr>
          <w:p w14:paraId="0544E691" w14:textId="77777777" w:rsidR="000F7C00" w:rsidRPr="00C07E62" w:rsidRDefault="000F7C00" w:rsidP="00211FA3">
            <w:pPr>
              <w:spacing w:after="0" w:line="240" w:lineRule="auto"/>
              <w:rPr>
                <w:rFonts w:ascii="Times New Roman" w:eastAsia="Times New Roman" w:hAnsi="Times New Roman" w:cs="Times New Roman"/>
                <w:sz w:val="24"/>
                <w:szCs w:val="24"/>
              </w:rPr>
            </w:pPr>
          </w:p>
        </w:tc>
        <w:tc>
          <w:tcPr>
            <w:tcW w:w="1599" w:type="dxa"/>
            <w:tcBorders>
              <w:top w:val="nil"/>
              <w:left w:val="nil"/>
              <w:bottom w:val="nil"/>
              <w:right w:val="nil"/>
            </w:tcBorders>
            <w:shd w:val="clear" w:color="auto" w:fill="auto"/>
            <w:noWrap/>
            <w:vAlign w:val="bottom"/>
            <w:hideMark/>
          </w:tcPr>
          <w:p w14:paraId="3F4E0D03" w14:textId="77777777" w:rsidR="000F7C00" w:rsidRPr="00C07E62" w:rsidRDefault="000F7C00" w:rsidP="00211FA3">
            <w:pPr>
              <w:spacing w:after="0" w:line="240" w:lineRule="auto"/>
              <w:rPr>
                <w:rFonts w:ascii="Times New Roman" w:eastAsia="Times New Roman" w:hAnsi="Times New Roman" w:cs="Times New Roman"/>
                <w:sz w:val="24"/>
                <w:szCs w:val="24"/>
              </w:rPr>
            </w:pPr>
          </w:p>
        </w:tc>
      </w:tr>
      <w:tr w:rsidR="000F7C00" w:rsidRPr="00540907" w14:paraId="6156B65E" w14:textId="77777777" w:rsidTr="00211FA3">
        <w:trPr>
          <w:trHeight w:val="290"/>
        </w:trPr>
        <w:tc>
          <w:tcPr>
            <w:tcW w:w="4054" w:type="dxa"/>
            <w:tcBorders>
              <w:top w:val="nil"/>
              <w:left w:val="nil"/>
              <w:bottom w:val="nil"/>
              <w:right w:val="nil"/>
            </w:tcBorders>
            <w:shd w:val="clear" w:color="auto" w:fill="auto"/>
            <w:noWrap/>
            <w:vAlign w:val="bottom"/>
            <w:hideMark/>
          </w:tcPr>
          <w:p w14:paraId="6D3463E4" w14:textId="77777777" w:rsidR="000F7C00" w:rsidRPr="00C07E62" w:rsidRDefault="000F7C00" w:rsidP="00211FA3">
            <w:pPr>
              <w:spacing w:after="0" w:line="240" w:lineRule="auto"/>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 xml:space="preserve">     1979</w:t>
            </w:r>
          </w:p>
        </w:tc>
        <w:tc>
          <w:tcPr>
            <w:tcW w:w="1217" w:type="dxa"/>
            <w:gridSpan w:val="2"/>
            <w:tcBorders>
              <w:top w:val="nil"/>
              <w:left w:val="nil"/>
              <w:bottom w:val="nil"/>
              <w:right w:val="nil"/>
            </w:tcBorders>
            <w:shd w:val="clear" w:color="auto" w:fill="auto"/>
            <w:noWrap/>
            <w:vAlign w:val="bottom"/>
            <w:hideMark/>
          </w:tcPr>
          <w:p w14:paraId="0DE91DFD" w14:textId="77777777" w:rsidR="000F7C00" w:rsidRPr="00C07E62" w:rsidRDefault="000F7C00" w:rsidP="00211FA3">
            <w:pPr>
              <w:spacing w:after="0" w:line="240" w:lineRule="auto"/>
              <w:jc w:val="right"/>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2.36</w:t>
            </w:r>
          </w:p>
        </w:tc>
        <w:tc>
          <w:tcPr>
            <w:tcW w:w="1218" w:type="dxa"/>
            <w:gridSpan w:val="2"/>
            <w:tcBorders>
              <w:top w:val="nil"/>
              <w:left w:val="nil"/>
              <w:bottom w:val="nil"/>
              <w:right w:val="nil"/>
            </w:tcBorders>
            <w:shd w:val="clear" w:color="auto" w:fill="auto"/>
            <w:noWrap/>
            <w:vAlign w:val="bottom"/>
            <w:hideMark/>
          </w:tcPr>
          <w:p w14:paraId="433025A3" w14:textId="77777777" w:rsidR="000F7C00" w:rsidRPr="00C07E62" w:rsidRDefault="000F7C00" w:rsidP="00211FA3">
            <w:pPr>
              <w:spacing w:after="0" w:line="240" w:lineRule="auto"/>
              <w:jc w:val="right"/>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4.63</w:t>
            </w:r>
          </w:p>
        </w:tc>
        <w:tc>
          <w:tcPr>
            <w:tcW w:w="1218" w:type="dxa"/>
            <w:gridSpan w:val="2"/>
            <w:tcBorders>
              <w:top w:val="nil"/>
              <w:left w:val="nil"/>
              <w:bottom w:val="nil"/>
              <w:right w:val="nil"/>
            </w:tcBorders>
            <w:shd w:val="clear" w:color="auto" w:fill="auto"/>
            <w:noWrap/>
            <w:vAlign w:val="bottom"/>
            <w:hideMark/>
          </w:tcPr>
          <w:p w14:paraId="2920B6EF" w14:textId="77777777" w:rsidR="000F7C00" w:rsidRPr="00C07E62" w:rsidRDefault="000F7C00" w:rsidP="00211FA3">
            <w:pPr>
              <w:spacing w:after="0" w:line="240" w:lineRule="auto"/>
              <w:jc w:val="right"/>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1.49</w:t>
            </w:r>
          </w:p>
        </w:tc>
        <w:tc>
          <w:tcPr>
            <w:tcW w:w="1218" w:type="dxa"/>
            <w:gridSpan w:val="2"/>
            <w:tcBorders>
              <w:top w:val="nil"/>
              <w:left w:val="nil"/>
              <w:bottom w:val="nil"/>
              <w:right w:val="nil"/>
            </w:tcBorders>
            <w:shd w:val="clear" w:color="auto" w:fill="auto"/>
            <w:noWrap/>
            <w:vAlign w:val="bottom"/>
            <w:hideMark/>
          </w:tcPr>
          <w:p w14:paraId="6716A4B2" w14:textId="77777777" w:rsidR="000F7C00" w:rsidRPr="00C07E62" w:rsidRDefault="000F7C00" w:rsidP="00211FA3">
            <w:pPr>
              <w:spacing w:after="0" w:line="240" w:lineRule="auto"/>
              <w:jc w:val="right"/>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2.93</w:t>
            </w:r>
          </w:p>
        </w:tc>
        <w:tc>
          <w:tcPr>
            <w:tcW w:w="1218" w:type="dxa"/>
            <w:gridSpan w:val="2"/>
            <w:tcBorders>
              <w:top w:val="nil"/>
              <w:left w:val="nil"/>
              <w:bottom w:val="nil"/>
              <w:right w:val="nil"/>
            </w:tcBorders>
            <w:shd w:val="clear" w:color="auto" w:fill="auto"/>
            <w:noWrap/>
            <w:vAlign w:val="bottom"/>
            <w:hideMark/>
          </w:tcPr>
          <w:p w14:paraId="6AB93181" w14:textId="77777777" w:rsidR="000F7C00" w:rsidRPr="00C07E62" w:rsidRDefault="000F7C00" w:rsidP="00211FA3">
            <w:pPr>
              <w:spacing w:after="0" w:line="240" w:lineRule="auto"/>
              <w:jc w:val="right"/>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1.96</w:t>
            </w:r>
          </w:p>
        </w:tc>
        <w:tc>
          <w:tcPr>
            <w:tcW w:w="1218" w:type="dxa"/>
            <w:tcBorders>
              <w:top w:val="nil"/>
              <w:left w:val="nil"/>
              <w:bottom w:val="nil"/>
              <w:right w:val="nil"/>
            </w:tcBorders>
            <w:shd w:val="clear" w:color="auto" w:fill="auto"/>
            <w:noWrap/>
            <w:vAlign w:val="bottom"/>
            <w:hideMark/>
          </w:tcPr>
          <w:p w14:paraId="5DAD10D5" w14:textId="7182729B" w:rsidR="000F7C00" w:rsidRPr="00C07E62" w:rsidRDefault="003C685B" w:rsidP="00211FA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2.15</w:t>
            </w:r>
          </w:p>
        </w:tc>
        <w:tc>
          <w:tcPr>
            <w:tcW w:w="1599" w:type="dxa"/>
            <w:tcBorders>
              <w:top w:val="nil"/>
              <w:left w:val="nil"/>
              <w:bottom w:val="nil"/>
              <w:right w:val="nil"/>
            </w:tcBorders>
            <w:shd w:val="clear" w:color="auto" w:fill="auto"/>
            <w:noWrap/>
            <w:vAlign w:val="bottom"/>
            <w:hideMark/>
          </w:tcPr>
          <w:p w14:paraId="536B9597" w14:textId="77777777" w:rsidR="000F7C00" w:rsidRPr="00C07E62" w:rsidRDefault="000F7C00" w:rsidP="00211FA3">
            <w:pPr>
              <w:spacing w:after="0" w:line="240" w:lineRule="auto"/>
              <w:jc w:val="right"/>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0.332</w:t>
            </w:r>
          </w:p>
        </w:tc>
      </w:tr>
      <w:tr w:rsidR="000F7C00" w:rsidRPr="00540907" w14:paraId="17A863D7" w14:textId="77777777" w:rsidTr="00211FA3">
        <w:trPr>
          <w:trHeight w:val="290"/>
        </w:trPr>
        <w:tc>
          <w:tcPr>
            <w:tcW w:w="4054" w:type="dxa"/>
            <w:tcBorders>
              <w:top w:val="nil"/>
              <w:left w:val="nil"/>
              <w:bottom w:val="nil"/>
              <w:right w:val="nil"/>
            </w:tcBorders>
            <w:shd w:val="clear" w:color="auto" w:fill="auto"/>
            <w:noWrap/>
            <w:vAlign w:val="bottom"/>
            <w:hideMark/>
          </w:tcPr>
          <w:p w14:paraId="569F1F4B" w14:textId="77777777" w:rsidR="000F7C00" w:rsidRPr="00C07E62" w:rsidRDefault="000F7C00" w:rsidP="00211FA3">
            <w:pPr>
              <w:spacing w:after="0" w:line="240" w:lineRule="auto"/>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 xml:space="preserve">     2018</w:t>
            </w:r>
          </w:p>
        </w:tc>
        <w:tc>
          <w:tcPr>
            <w:tcW w:w="1217" w:type="dxa"/>
            <w:gridSpan w:val="2"/>
            <w:tcBorders>
              <w:top w:val="nil"/>
              <w:left w:val="nil"/>
              <w:bottom w:val="nil"/>
              <w:right w:val="nil"/>
            </w:tcBorders>
            <w:shd w:val="clear" w:color="auto" w:fill="auto"/>
            <w:noWrap/>
            <w:vAlign w:val="bottom"/>
            <w:hideMark/>
          </w:tcPr>
          <w:p w14:paraId="318076B5" w14:textId="77777777" w:rsidR="000F7C00" w:rsidRPr="00C07E62" w:rsidRDefault="000F7C00" w:rsidP="00211FA3">
            <w:pPr>
              <w:spacing w:after="0" w:line="240" w:lineRule="auto"/>
              <w:jc w:val="right"/>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2.27</w:t>
            </w:r>
          </w:p>
        </w:tc>
        <w:tc>
          <w:tcPr>
            <w:tcW w:w="1218" w:type="dxa"/>
            <w:gridSpan w:val="2"/>
            <w:tcBorders>
              <w:top w:val="nil"/>
              <w:left w:val="nil"/>
              <w:bottom w:val="nil"/>
              <w:right w:val="nil"/>
            </w:tcBorders>
            <w:shd w:val="clear" w:color="auto" w:fill="auto"/>
            <w:noWrap/>
            <w:vAlign w:val="bottom"/>
            <w:hideMark/>
          </w:tcPr>
          <w:p w14:paraId="2856DE43" w14:textId="77777777" w:rsidR="000F7C00" w:rsidRPr="00C07E62" w:rsidRDefault="000F7C00" w:rsidP="00211FA3">
            <w:pPr>
              <w:spacing w:after="0" w:line="240" w:lineRule="auto"/>
              <w:jc w:val="right"/>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5.45</w:t>
            </w:r>
          </w:p>
        </w:tc>
        <w:tc>
          <w:tcPr>
            <w:tcW w:w="1218" w:type="dxa"/>
            <w:gridSpan w:val="2"/>
            <w:tcBorders>
              <w:top w:val="nil"/>
              <w:left w:val="nil"/>
              <w:bottom w:val="nil"/>
              <w:right w:val="nil"/>
            </w:tcBorders>
            <w:shd w:val="clear" w:color="auto" w:fill="auto"/>
            <w:noWrap/>
            <w:vAlign w:val="bottom"/>
            <w:hideMark/>
          </w:tcPr>
          <w:p w14:paraId="27998862" w14:textId="77777777" w:rsidR="000F7C00" w:rsidRPr="00C07E62" w:rsidRDefault="000F7C00" w:rsidP="00211FA3">
            <w:pPr>
              <w:spacing w:after="0" w:line="240" w:lineRule="auto"/>
              <w:jc w:val="right"/>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1.56</w:t>
            </w:r>
          </w:p>
        </w:tc>
        <w:tc>
          <w:tcPr>
            <w:tcW w:w="1218" w:type="dxa"/>
            <w:gridSpan w:val="2"/>
            <w:tcBorders>
              <w:top w:val="nil"/>
              <w:left w:val="nil"/>
              <w:bottom w:val="nil"/>
              <w:right w:val="nil"/>
            </w:tcBorders>
            <w:shd w:val="clear" w:color="auto" w:fill="auto"/>
            <w:noWrap/>
            <w:vAlign w:val="bottom"/>
            <w:hideMark/>
          </w:tcPr>
          <w:p w14:paraId="4811DB7D" w14:textId="77777777" w:rsidR="000F7C00" w:rsidRPr="00C07E62" w:rsidRDefault="000F7C00" w:rsidP="00211FA3">
            <w:pPr>
              <w:spacing w:after="0" w:line="240" w:lineRule="auto"/>
              <w:jc w:val="right"/>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3.75</w:t>
            </w:r>
          </w:p>
        </w:tc>
        <w:tc>
          <w:tcPr>
            <w:tcW w:w="1218" w:type="dxa"/>
            <w:gridSpan w:val="2"/>
            <w:tcBorders>
              <w:top w:val="nil"/>
              <w:left w:val="nil"/>
              <w:bottom w:val="nil"/>
              <w:right w:val="nil"/>
            </w:tcBorders>
            <w:shd w:val="clear" w:color="auto" w:fill="auto"/>
            <w:noWrap/>
            <w:vAlign w:val="bottom"/>
            <w:hideMark/>
          </w:tcPr>
          <w:p w14:paraId="701E139D" w14:textId="77777777" w:rsidR="000F7C00" w:rsidRPr="00C07E62" w:rsidRDefault="000F7C00" w:rsidP="00211FA3">
            <w:pPr>
              <w:spacing w:after="0" w:line="240" w:lineRule="auto"/>
              <w:jc w:val="right"/>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2.40</w:t>
            </w:r>
          </w:p>
        </w:tc>
        <w:tc>
          <w:tcPr>
            <w:tcW w:w="1218" w:type="dxa"/>
            <w:tcBorders>
              <w:top w:val="nil"/>
              <w:left w:val="nil"/>
              <w:bottom w:val="nil"/>
              <w:right w:val="nil"/>
            </w:tcBorders>
            <w:shd w:val="clear" w:color="auto" w:fill="auto"/>
            <w:noWrap/>
            <w:vAlign w:val="bottom"/>
            <w:hideMark/>
          </w:tcPr>
          <w:p w14:paraId="4CE359A2" w14:textId="77777777" w:rsidR="000F7C00" w:rsidRPr="00C07E62" w:rsidRDefault="000F7C00" w:rsidP="00211FA3">
            <w:pPr>
              <w:spacing w:after="0" w:line="240" w:lineRule="auto"/>
              <w:jc w:val="right"/>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2.67</w:t>
            </w:r>
          </w:p>
        </w:tc>
        <w:tc>
          <w:tcPr>
            <w:tcW w:w="1599" w:type="dxa"/>
            <w:tcBorders>
              <w:top w:val="nil"/>
              <w:left w:val="nil"/>
              <w:bottom w:val="nil"/>
              <w:right w:val="nil"/>
            </w:tcBorders>
            <w:shd w:val="clear" w:color="auto" w:fill="auto"/>
            <w:noWrap/>
            <w:vAlign w:val="bottom"/>
            <w:hideMark/>
          </w:tcPr>
          <w:p w14:paraId="48F26F65" w14:textId="77777777" w:rsidR="000F7C00" w:rsidRPr="00C07E62" w:rsidRDefault="000F7C00" w:rsidP="00211FA3">
            <w:pPr>
              <w:spacing w:after="0" w:line="240" w:lineRule="auto"/>
              <w:jc w:val="right"/>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0.403</w:t>
            </w:r>
          </w:p>
        </w:tc>
      </w:tr>
      <w:tr w:rsidR="000F7C00" w:rsidRPr="00540907" w14:paraId="790B5EEA" w14:textId="77777777" w:rsidTr="00211FA3">
        <w:trPr>
          <w:trHeight w:val="290"/>
        </w:trPr>
        <w:tc>
          <w:tcPr>
            <w:tcW w:w="4054" w:type="dxa"/>
            <w:tcBorders>
              <w:top w:val="nil"/>
              <w:left w:val="nil"/>
              <w:bottom w:val="nil"/>
              <w:right w:val="nil"/>
            </w:tcBorders>
            <w:shd w:val="clear" w:color="auto" w:fill="auto"/>
            <w:noWrap/>
            <w:vAlign w:val="bottom"/>
            <w:hideMark/>
          </w:tcPr>
          <w:p w14:paraId="320AE308" w14:textId="77777777" w:rsidR="000F7C00" w:rsidRPr="00C07E62" w:rsidRDefault="000F7C00" w:rsidP="00211FA3">
            <w:pPr>
              <w:spacing w:after="0" w:line="240" w:lineRule="auto"/>
              <w:jc w:val="right"/>
              <w:rPr>
                <w:rFonts w:ascii="Times New Roman" w:eastAsia="Times New Roman" w:hAnsi="Times New Roman" w:cs="Times New Roman"/>
                <w:color w:val="000000"/>
                <w:sz w:val="24"/>
                <w:szCs w:val="24"/>
              </w:rPr>
            </w:pPr>
          </w:p>
        </w:tc>
        <w:tc>
          <w:tcPr>
            <w:tcW w:w="1217" w:type="dxa"/>
            <w:gridSpan w:val="2"/>
            <w:tcBorders>
              <w:top w:val="nil"/>
              <w:left w:val="nil"/>
              <w:bottom w:val="nil"/>
              <w:right w:val="nil"/>
            </w:tcBorders>
            <w:shd w:val="clear" w:color="auto" w:fill="auto"/>
            <w:noWrap/>
            <w:vAlign w:val="bottom"/>
            <w:hideMark/>
          </w:tcPr>
          <w:p w14:paraId="66B47F06" w14:textId="77777777" w:rsidR="000F7C00" w:rsidRPr="00C07E62" w:rsidRDefault="000F7C00" w:rsidP="00211FA3">
            <w:pPr>
              <w:spacing w:after="0" w:line="240" w:lineRule="auto"/>
              <w:rPr>
                <w:rFonts w:ascii="Times New Roman" w:eastAsia="Times New Roman" w:hAnsi="Times New Roman" w:cs="Times New Roman"/>
                <w:sz w:val="24"/>
                <w:szCs w:val="24"/>
              </w:rPr>
            </w:pPr>
          </w:p>
        </w:tc>
        <w:tc>
          <w:tcPr>
            <w:tcW w:w="1218" w:type="dxa"/>
            <w:gridSpan w:val="2"/>
            <w:tcBorders>
              <w:top w:val="nil"/>
              <w:left w:val="nil"/>
              <w:bottom w:val="nil"/>
              <w:right w:val="nil"/>
            </w:tcBorders>
            <w:shd w:val="clear" w:color="auto" w:fill="auto"/>
            <w:noWrap/>
            <w:vAlign w:val="bottom"/>
            <w:hideMark/>
          </w:tcPr>
          <w:p w14:paraId="3579F035" w14:textId="77777777" w:rsidR="000F7C00" w:rsidRPr="00C07E62" w:rsidRDefault="000F7C00" w:rsidP="00211FA3">
            <w:pPr>
              <w:spacing w:after="0" w:line="240" w:lineRule="auto"/>
              <w:rPr>
                <w:rFonts w:ascii="Times New Roman" w:eastAsia="Times New Roman" w:hAnsi="Times New Roman" w:cs="Times New Roman"/>
                <w:sz w:val="24"/>
                <w:szCs w:val="24"/>
              </w:rPr>
            </w:pPr>
          </w:p>
        </w:tc>
        <w:tc>
          <w:tcPr>
            <w:tcW w:w="1218" w:type="dxa"/>
            <w:gridSpan w:val="2"/>
            <w:tcBorders>
              <w:top w:val="nil"/>
              <w:left w:val="nil"/>
              <w:bottom w:val="nil"/>
              <w:right w:val="nil"/>
            </w:tcBorders>
            <w:shd w:val="clear" w:color="auto" w:fill="auto"/>
            <w:noWrap/>
            <w:vAlign w:val="bottom"/>
            <w:hideMark/>
          </w:tcPr>
          <w:p w14:paraId="2200F1BB" w14:textId="77777777" w:rsidR="000F7C00" w:rsidRPr="00C07E62" w:rsidRDefault="000F7C00" w:rsidP="00211FA3">
            <w:pPr>
              <w:spacing w:after="0" w:line="240" w:lineRule="auto"/>
              <w:rPr>
                <w:rFonts w:ascii="Times New Roman" w:eastAsia="Times New Roman" w:hAnsi="Times New Roman" w:cs="Times New Roman"/>
                <w:sz w:val="24"/>
                <w:szCs w:val="24"/>
              </w:rPr>
            </w:pPr>
          </w:p>
        </w:tc>
        <w:tc>
          <w:tcPr>
            <w:tcW w:w="1218" w:type="dxa"/>
            <w:gridSpan w:val="2"/>
            <w:tcBorders>
              <w:top w:val="nil"/>
              <w:left w:val="nil"/>
              <w:bottom w:val="nil"/>
              <w:right w:val="nil"/>
            </w:tcBorders>
            <w:shd w:val="clear" w:color="auto" w:fill="auto"/>
            <w:noWrap/>
            <w:vAlign w:val="bottom"/>
            <w:hideMark/>
          </w:tcPr>
          <w:p w14:paraId="1946498F" w14:textId="77777777" w:rsidR="000F7C00" w:rsidRPr="00C07E62" w:rsidRDefault="000F7C00" w:rsidP="00211FA3">
            <w:pPr>
              <w:spacing w:after="0" w:line="240" w:lineRule="auto"/>
              <w:rPr>
                <w:rFonts w:ascii="Times New Roman" w:eastAsia="Times New Roman" w:hAnsi="Times New Roman" w:cs="Times New Roman"/>
                <w:sz w:val="24"/>
                <w:szCs w:val="24"/>
              </w:rPr>
            </w:pPr>
          </w:p>
        </w:tc>
        <w:tc>
          <w:tcPr>
            <w:tcW w:w="1218" w:type="dxa"/>
            <w:gridSpan w:val="2"/>
            <w:tcBorders>
              <w:top w:val="nil"/>
              <w:left w:val="nil"/>
              <w:bottom w:val="nil"/>
              <w:right w:val="nil"/>
            </w:tcBorders>
            <w:shd w:val="clear" w:color="auto" w:fill="auto"/>
            <w:noWrap/>
            <w:vAlign w:val="bottom"/>
            <w:hideMark/>
          </w:tcPr>
          <w:p w14:paraId="3880B663" w14:textId="77777777" w:rsidR="000F7C00" w:rsidRPr="00C07E62" w:rsidRDefault="000F7C00" w:rsidP="00211FA3">
            <w:pPr>
              <w:spacing w:after="0" w:line="240" w:lineRule="auto"/>
              <w:rPr>
                <w:rFonts w:ascii="Times New Roman" w:eastAsia="Times New Roman" w:hAnsi="Times New Roman" w:cs="Times New Roman"/>
                <w:sz w:val="24"/>
                <w:szCs w:val="24"/>
              </w:rPr>
            </w:pPr>
          </w:p>
        </w:tc>
        <w:tc>
          <w:tcPr>
            <w:tcW w:w="1218" w:type="dxa"/>
            <w:tcBorders>
              <w:top w:val="nil"/>
              <w:left w:val="nil"/>
              <w:bottom w:val="nil"/>
              <w:right w:val="nil"/>
            </w:tcBorders>
            <w:shd w:val="clear" w:color="auto" w:fill="auto"/>
            <w:noWrap/>
            <w:vAlign w:val="bottom"/>
            <w:hideMark/>
          </w:tcPr>
          <w:p w14:paraId="3CE1B9B9" w14:textId="77777777" w:rsidR="000F7C00" w:rsidRPr="00C07E62" w:rsidRDefault="000F7C00" w:rsidP="00211FA3">
            <w:pPr>
              <w:spacing w:after="0" w:line="240" w:lineRule="auto"/>
              <w:rPr>
                <w:rFonts w:ascii="Times New Roman" w:eastAsia="Times New Roman" w:hAnsi="Times New Roman" w:cs="Times New Roman"/>
                <w:sz w:val="24"/>
                <w:szCs w:val="24"/>
              </w:rPr>
            </w:pPr>
          </w:p>
        </w:tc>
        <w:tc>
          <w:tcPr>
            <w:tcW w:w="1599" w:type="dxa"/>
            <w:tcBorders>
              <w:top w:val="nil"/>
              <w:left w:val="nil"/>
              <w:bottom w:val="nil"/>
              <w:right w:val="nil"/>
            </w:tcBorders>
            <w:shd w:val="clear" w:color="auto" w:fill="auto"/>
            <w:noWrap/>
            <w:vAlign w:val="bottom"/>
            <w:hideMark/>
          </w:tcPr>
          <w:p w14:paraId="3A9ECC2B" w14:textId="77777777" w:rsidR="000F7C00" w:rsidRPr="00C07E62" w:rsidRDefault="000F7C00" w:rsidP="00211FA3">
            <w:pPr>
              <w:spacing w:after="0" w:line="240" w:lineRule="auto"/>
              <w:rPr>
                <w:rFonts w:ascii="Times New Roman" w:eastAsia="Times New Roman" w:hAnsi="Times New Roman" w:cs="Times New Roman"/>
                <w:sz w:val="24"/>
                <w:szCs w:val="24"/>
              </w:rPr>
            </w:pPr>
          </w:p>
        </w:tc>
      </w:tr>
      <w:tr w:rsidR="000F7C00" w:rsidRPr="00540907" w14:paraId="6D6FB29D" w14:textId="77777777" w:rsidTr="00C07E62">
        <w:trPr>
          <w:trHeight w:val="576"/>
        </w:trPr>
        <w:tc>
          <w:tcPr>
            <w:tcW w:w="4054" w:type="dxa"/>
            <w:tcBorders>
              <w:top w:val="nil"/>
              <w:left w:val="nil"/>
              <w:bottom w:val="nil"/>
              <w:right w:val="nil"/>
            </w:tcBorders>
            <w:shd w:val="clear" w:color="auto" w:fill="auto"/>
            <w:noWrap/>
            <w:vAlign w:val="bottom"/>
            <w:hideMark/>
          </w:tcPr>
          <w:p w14:paraId="44453A48" w14:textId="77777777" w:rsidR="000F7C00" w:rsidRPr="00C07E62" w:rsidRDefault="000F7C00" w:rsidP="00211FA3">
            <w:pPr>
              <w:spacing w:after="0" w:line="240" w:lineRule="auto"/>
              <w:rPr>
                <w:rFonts w:ascii="Times New Roman" w:eastAsia="Times New Roman" w:hAnsi="Times New Roman" w:cs="Times New Roman"/>
                <w:color w:val="000000"/>
                <w:sz w:val="24"/>
                <w:szCs w:val="24"/>
              </w:rPr>
            </w:pPr>
            <w:r w:rsidRPr="00C07E62">
              <w:rPr>
                <w:rFonts w:ascii="Times New Roman" w:eastAsia="Times New Roman" w:hAnsi="Times New Roman" w:cs="Times New Roman"/>
                <w:b/>
                <w:color w:val="000000"/>
                <w:sz w:val="24"/>
                <w:szCs w:val="24"/>
              </w:rPr>
              <w:t>Panel B: 2018 Simulations</w:t>
            </w:r>
          </w:p>
        </w:tc>
        <w:tc>
          <w:tcPr>
            <w:tcW w:w="1217" w:type="dxa"/>
            <w:gridSpan w:val="2"/>
            <w:tcBorders>
              <w:top w:val="nil"/>
              <w:left w:val="nil"/>
              <w:bottom w:val="nil"/>
              <w:right w:val="nil"/>
            </w:tcBorders>
            <w:shd w:val="clear" w:color="auto" w:fill="auto"/>
            <w:noWrap/>
            <w:vAlign w:val="bottom"/>
            <w:hideMark/>
          </w:tcPr>
          <w:p w14:paraId="2ED9BEFD" w14:textId="77777777" w:rsidR="000F7C00" w:rsidRPr="00C07E62" w:rsidRDefault="000F7C00" w:rsidP="00211FA3">
            <w:pPr>
              <w:spacing w:after="0" w:line="240" w:lineRule="auto"/>
              <w:rPr>
                <w:rFonts w:ascii="Times New Roman" w:eastAsia="Times New Roman" w:hAnsi="Times New Roman" w:cs="Times New Roman"/>
                <w:color w:val="000000"/>
                <w:sz w:val="24"/>
                <w:szCs w:val="24"/>
              </w:rPr>
            </w:pPr>
          </w:p>
        </w:tc>
        <w:tc>
          <w:tcPr>
            <w:tcW w:w="1218" w:type="dxa"/>
            <w:gridSpan w:val="2"/>
            <w:tcBorders>
              <w:top w:val="nil"/>
              <w:left w:val="nil"/>
              <w:bottom w:val="nil"/>
              <w:right w:val="nil"/>
            </w:tcBorders>
            <w:shd w:val="clear" w:color="auto" w:fill="auto"/>
            <w:noWrap/>
            <w:vAlign w:val="bottom"/>
            <w:hideMark/>
          </w:tcPr>
          <w:p w14:paraId="7280B9C9" w14:textId="77777777" w:rsidR="000F7C00" w:rsidRPr="00C07E62" w:rsidRDefault="000F7C00" w:rsidP="00211FA3">
            <w:pPr>
              <w:spacing w:after="0" w:line="240" w:lineRule="auto"/>
              <w:rPr>
                <w:rFonts w:ascii="Times New Roman" w:eastAsia="Times New Roman" w:hAnsi="Times New Roman" w:cs="Times New Roman"/>
                <w:sz w:val="24"/>
                <w:szCs w:val="24"/>
              </w:rPr>
            </w:pPr>
          </w:p>
        </w:tc>
        <w:tc>
          <w:tcPr>
            <w:tcW w:w="1218" w:type="dxa"/>
            <w:gridSpan w:val="2"/>
            <w:tcBorders>
              <w:top w:val="nil"/>
              <w:left w:val="nil"/>
              <w:bottom w:val="nil"/>
              <w:right w:val="nil"/>
            </w:tcBorders>
            <w:shd w:val="clear" w:color="auto" w:fill="auto"/>
            <w:noWrap/>
            <w:vAlign w:val="bottom"/>
            <w:hideMark/>
          </w:tcPr>
          <w:p w14:paraId="4F6457F8" w14:textId="77777777" w:rsidR="000F7C00" w:rsidRPr="00C07E62" w:rsidRDefault="000F7C00" w:rsidP="00211FA3">
            <w:pPr>
              <w:spacing w:after="0" w:line="240" w:lineRule="auto"/>
              <w:rPr>
                <w:rFonts w:ascii="Times New Roman" w:eastAsia="Times New Roman" w:hAnsi="Times New Roman" w:cs="Times New Roman"/>
                <w:sz w:val="24"/>
                <w:szCs w:val="24"/>
              </w:rPr>
            </w:pPr>
          </w:p>
        </w:tc>
        <w:tc>
          <w:tcPr>
            <w:tcW w:w="1218" w:type="dxa"/>
            <w:gridSpan w:val="2"/>
            <w:tcBorders>
              <w:top w:val="nil"/>
              <w:left w:val="nil"/>
              <w:bottom w:val="nil"/>
              <w:right w:val="nil"/>
            </w:tcBorders>
            <w:shd w:val="clear" w:color="auto" w:fill="auto"/>
            <w:noWrap/>
            <w:vAlign w:val="bottom"/>
            <w:hideMark/>
          </w:tcPr>
          <w:p w14:paraId="578F99FD" w14:textId="77777777" w:rsidR="000F7C00" w:rsidRPr="00C07E62" w:rsidRDefault="000F7C00" w:rsidP="00211FA3">
            <w:pPr>
              <w:spacing w:after="0" w:line="240" w:lineRule="auto"/>
              <w:rPr>
                <w:rFonts w:ascii="Times New Roman" w:eastAsia="Times New Roman" w:hAnsi="Times New Roman" w:cs="Times New Roman"/>
                <w:sz w:val="24"/>
                <w:szCs w:val="24"/>
              </w:rPr>
            </w:pPr>
          </w:p>
        </w:tc>
        <w:tc>
          <w:tcPr>
            <w:tcW w:w="1218" w:type="dxa"/>
            <w:gridSpan w:val="2"/>
            <w:tcBorders>
              <w:top w:val="nil"/>
              <w:left w:val="nil"/>
              <w:bottom w:val="nil"/>
              <w:right w:val="nil"/>
            </w:tcBorders>
            <w:shd w:val="clear" w:color="auto" w:fill="auto"/>
            <w:noWrap/>
            <w:vAlign w:val="bottom"/>
            <w:hideMark/>
          </w:tcPr>
          <w:p w14:paraId="3B135108" w14:textId="77777777" w:rsidR="000F7C00" w:rsidRPr="00C07E62" w:rsidRDefault="000F7C00" w:rsidP="00211FA3">
            <w:pPr>
              <w:spacing w:after="0" w:line="240" w:lineRule="auto"/>
              <w:rPr>
                <w:rFonts w:ascii="Times New Roman" w:eastAsia="Times New Roman" w:hAnsi="Times New Roman" w:cs="Times New Roman"/>
                <w:sz w:val="24"/>
                <w:szCs w:val="24"/>
              </w:rPr>
            </w:pPr>
          </w:p>
        </w:tc>
        <w:tc>
          <w:tcPr>
            <w:tcW w:w="1218" w:type="dxa"/>
            <w:tcBorders>
              <w:top w:val="nil"/>
              <w:left w:val="nil"/>
              <w:bottom w:val="nil"/>
              <w:right w:val="nil"/>
            </w:tcBorders>
            <w:shd w:val="clear" w:color="auto" w:fill="auto"/>
            <w:noWrap/>
            <w:vAlign w:val="bottom"/>
            <w:hideMark/>
          </w:tcPr>
          <w:p w14:paraId="6F187CBD" w14:textId="77777777" w:rsidR="000F7C00" w:rsidRPr="00C07E62" w:rsidRDefault="000F7C00" w:rsidP="00211FA3">
            <w:pPr>
              <w:spacing w:after="0" w:line="240" w:lineRule="auto"/>
              <w:rPr>
                <w:rFonts w:ascii="Times New Roman" w:eastAsia="Times New Roman" w:hAnsi="Times New Roman" w:cs="Times New Roman"/>
                <w:sz w:val="24"/>
                <w:szCs w:val="24"/>
              </w:rPr>
            </w:pPr>
          </w:p>
        </w:tc>
        <w:tc>
          <w:tcPr>
            <w:tcW w:w="1599" w:type="dxa"/>
            <w:tcBorders>
              <w:top w:val="nil"/>
              <w:left w:val="nil"/>
              <w:bottom w:val="nil"/>
              <w:right w:val="nil"/>
            </w:tcBorders>
            <w:shd w:val="clear" w:color="auto" w:fill="auto"/>
            <w:noWrap/>
            <w:vAlign w:val="bottom"/>
            <w:hideMark/>
          </w:tcPr>
          <w:p w14:paraId="197660E3" w14:textId="77777777" w:rsidR="000F7C00" w:rsidRPr="00C07E62" w:rsidRDefault="000F7C00" w:rsidP="00211FA3">
            <w:pPr>
              <w:spacing w:after="0" w:line="240" w:lineRule="auto"/>
              <w:rPr>
                <w:rFonts w:ascii="Times New Roman" w:eastAsia="Times New Roman" w:hAnsi="Times New Roman" w:cs="Times New Roman"/>
                <w:sz w:val="24"/>
                <w:szCs w:val="24"/>
              </w:rPr>
            </w:pPr>
          </w:p>
        </w:tc>
      </w:tr>
      <w:tr w:rsidR="000F7C00" w:rsidRPr="00540907" w14:paraId="5BDF59DE" w14:textId="77777777" w:rsidTr="00211FA3">
        <w:trPr>
          <w:trHeight w:val="290"/>
        </w:trPr>
        <w:tc>
          <w:tcPr>
            <w:tcW w:w="4054" w:type="dxa"/>
            <w:tcBorders>
              <w:top w:val="nil"/>
              <w:left w:val="nil"/>
              <w:bottom w:val="nil"/>
              <w:right w:val="nil"/>
            </w:tcBorders>
            <w:shd w:val="clear" w:color="auto" w:fill="auto"/>
            <w:noWrap/>
            <w:vAlign w:val="bottom"/>
            <w:hideMark/>
          </w:tcPr>
          <w:p w14:paraId="71241C2E" w14:textId="77777777" w:rsidR="000F7C00" w:rsidRPr="00C07E62" w:rsidRDefault="000F7C00" w:rsidP="00211FA3">
            <w:pPr>
              <w:spacing w:after="0" w:line="240" w:lineRule="auto"/>
              <w:rPr>
                <w:rFonts w:ascii="Times New Roman" w:eastAsia="Times New Roman" w:hAnsi="Times New Roman" w:cs="Times New Roman"/>
                <w:i/>
                <w:color w:val="000000"/>
                <w:sz w:val="24"/>
                <w:szCs w:val="24"/>
              </w:rPr>
            </w:pPr>
            <w:r w:rsidRPr="00C07E62">
              <w:rPr>
                <w:rFonts w:ascii="Times New Roman" w:eastAsia="Times New Roman" w:hAnsi="Times New Roman" w:cs="Times New Roman"/>
                <w:i/>
                <w:color w:val="000000"/>
                <w:sz w:val="24"/>
                <w:szCs w:val="24"/>
              </w:rPr>
              <w:t xml:space="preserve">     Distribution Method</w:t>
            </w:r>
          </w:p>
        </w:tc>
        <w:tc>
          <w:tcPr>
            <w:tcW w:w="1217" w:type="dxa"/>
            <w:gridSpan w:val="2"/>
            <w:tcBorders>
              <w:top w:val="nil"/>
              <w:left w:val="nil"/>
              <w:bottom w:val="nil"/>
              <w:right w:val="nil"/>
            </w:tcBorders>
            <w:shd w:val="clear" w:color="auto" w:fill="auto"/>
            <w:noWrap/>
            <w:vAlign w:val="bottom"/>
            <w:hideMark/>
          </w:tcPr>
          <w:p w14:paraId="115A0753" w14:textId="77777777" w:rsidR="000F7C00" w:rsidRPr="00C07E62" w:rsidRDefault="000F7C00" w:rsidP="00211FA3">
            <w:pPr>
              <w:spacing w:after="0" w:line="240" w:lineRule="auto"/>
              <w:rPr>
                <w:rFonts w:ascii="Times New Roman" w:eastAsia="Times New Roman" w:hAnsi="Times New Roman" w:cs="Times New Roman"/>
                <w:color w:val="000000"/>
                <w:sz w:val="24"/>
                <w:szCs w:val="24"/>
              </w:rPr>
            </w:pPr>
          </w:p>
        </w:tc>
        <w:tc>
          <w:tcPr>
            <w:tcW w:w="1218" w:type="dxa"/>
            <w:gridSpan w:val="2"/>
            <w:tcBorders>
              <w:top w:val="nil"/>
              <w:left w:val="nil"/>
              <w:bottom w:val="nil"/>
              <w:right w:val="nil"/>
            </w:tcBorders>
            <w:shd w:val="clear" w:color="auto" w:fill="auto"/>
            <w:noWrap/>
            <w:vAlign w:val="bottom"/>
            <w:hideMark/>
          </w:tcPr>
          <w:p w14:paraId="45D7C34F" w14:textId="77777777" w:rsidR="000F7C00" w:rsidRPr="00C07E62" w:rsidRDefault="000F7C00" w:rsidP="00211FA3">
            <w:pPr>
              <w:spacing w:after="0" w:line="240" w:lineRule="auto"/>
              <w:rPr>
                <w:rFonts w:ascii="Times New Roman" w:eastAsia="Times New Roman" w:hAnsi="Times New Roman" w:cs="Times New Roman"/>
                <w:sz w:val="24"/>
                <w:szCs w:val="24"/>
              </w:rPr>
            </w:pPr>
          </w:p>
        </w:tc>
        <w:tc>
          <w:tcPr>
            <w:tcW w:w="1218" w:type="dxa"/>
            <w:gridSpan w:val="2"/>
            <w:tcBorders>
              <w:top w:val="nil"/>
              <w:left w:val="nil"/>
              <w:bottom w:val="nil"/>
              <w:right w:val="nil"/>
            </w:tcBorders>
            <w:shd w:val="clear" w:color="auto" w:fill="auto"/>
            <w:noWrap/>
            <w:vAlign w:val="bottom"/>
            <w:hideMark/>
          </w:tcPr>
          <w:p w14:paraId="016C8478" w14:textId="77777777" w:rsidR="000F7C00" w:rsidRPr="00C07E62" w:rsidRDefault="000F7C00" w:rsidP="00211FA3">
            <w:pPr>
              <w:spacing w:after="0" w:line="240" w:lineRule="auto"/>
              <w:rPr>
                <w:rFonts w:ascii="Times New Roman" w:eastAsia="Times New Roman" w:hAnsi="Times New Roman" w:cs="Times New Roman"/>
                <w:sz w:val="24"/>
                <w:szCs w:val="24"/>
              </w:rPr>
            </w:pPr>
          </w:p>
        </w:tc>
        <w:tc>
          <w:tcPr>
            <w:tcW w:w="1218" w:type="dxa"/>
            <w:gridSpan w:val="2"/>
            <w:tcBorders>
              <w:top w:val="nil"/>
              <w:left w:val="nil"/>
              <w:bottom w:val="nil"/>
              <w:right w:val="nil"/>
            </w:tcBorders>
            <w:shd w:val="clear" w:color="auto" w:fill="auto"/>
            <w:noWrap/>
            <w:vAlign w:val="bottom"/>
            <w:hideMark/>
          </w:tcPr>
          <w:p w14:paraId="3B22B01C" w14:textId="77777777" w:rsidR="000F7C00" w:rsidRPr="00C07E62" w:rsidRDefault="000F7C00" w:rsidP="00211FA3">
            <w:pPr>
              <w:spacing w:after="0" w:line="240" w:lineRule="auto"/>
              <w:rPr>
                <w:rFonts w:ascii="Times New Roman" w:eastAsia="Times New Roman" w:hAnsi="Times New Roman" w:cs="Times New Roman"/>
                <w:sz w:val="24"/>
                <w:szCs w:val="24"/>
              </w:rPr>
            </w:pPr>
          </w:p>
        </w:tc>
        <w:tc>
          <w:tcPr>
            <w:tcW w:w="1218" w:type="dxa"/>
            <w:gridSpan w:val="2"/>
            <w:tcBorders>
              <w:top w:val="nil"/>
              <w:left w:val="nil"/>
              <w:bottom w:val="nil"/>
              <w:right w:val="nil"/>
            </w:tcBorders>
            <w:shd w:val="clear" w:color="auto" w:fill="auto"/>
            <w:noWrap/>
            <w:vAlign w:val="bottom"/>
            <w:hideMark/>
          </w:tcPr>
          <w:p w14:paraId="3CCAE4B6" w14:textId="77777777" w:rsidR="000F7C00" w:rsidRPr="00C07E62" w:rsidRDefault="000F7C00" w:rsidP="00211FA3">
            <w:pPr>
              <w:spacing w:after="0" w:line="240" w:lineRule="auto"/>
              <w:rPr>
                <w:rFonts w:ascii="Times New Roman" w:eastAsia="Times New Roman" w:hAnsi="Times New Roman" w:cs="Times New Roman"/>
                <w:sz w:val="24"/>
                <w:szCs w:val="24"/>
              </w:rPr>
            </w:pPr>
          </w:p>
        </w:tc>
        <w:tc>
          <w:tcPr>
            <w:tcW w:w="1218" w:type="dxa"/>
            <w:tcBorders>
              <w:top w:val="nil"/>
              <w:left w:val="nil"/>
              <w:bottom w:val="nil"/>
              <w:right w:val="nil"/>
            </w:tcBorders>
            <w:shd w:val="clear" w:color="auto" w:fill="auto"/>
            <w:noWrap/>
            <w:vAlign w:val="bottom"/>
            <w:hideMark/>
          </w:tcPr>
          <w:p w14:paraId="4EB4E472" w14:textId="77777777" w:rsidR="000F7C00" w:rsidRPr="00C07E62" w:rsidRDefault="000F7C00" w:rsidP="00211FA3">
            <w:pPr>
              <w:spacing w:after="0" w:line="240" w:lineRule="auto"/>
              <w:rPr>
                <w:rFonts w:ascii="Times New Roman" w:eastAsia="Times New Roman" w:hAnsi="Times New Roman" w:cs="Times New Roman"/>
                <w:sz w:val="24"/>
                <w:szCs w:val="24"/>
              </w:rPr>
            </w:pPr>
          </w:p>
        </w:tc>
        <w:tc>
          <w:tcPr>
            <w:tcW w:w="1599" w:type="dxa"/>
            <w:tcBorders>
              <w:top w:val="nil"/>
              <w:left w:val="nil"/>
              <w:bottom w:val="nil"/>
              <w:right w:val="nil"/>
            </w:tcBorders>
            <w:shd w:val="clear" w:color="auto" w:fill="auto"/>
            <w:noWrap/>
            <w:vAlign w:val="bottom"/>
            <w:hideMark/>
          </w:tcPr>
          <w:p w14:paraId="0CACCA73" w14:textId="77777777" w:rsidR="000F7C00" w:rsidRPr="00C07E62" w:rsidRDefault="000F7C00" w:rsidP="00211FA3">
            <w:pPr>
              <w:spacing w:after="0" w:line="240" w:lineRule="auto"/>
              <w:rPr>
                <w:rFonts w:ascii="Times New Roman" w:eastAsia="Times New Roman" w:hAnsi="Times New Roman" w:cs="Times New Roman"/>
                <w:sz w:val="24"/>
                <w:szCs w:val="24"/>
              </w:rPr>
            </w:pPr>
          </w:p>
        </w:tc>
      </w:tr>
      <w:tr w:rsidR="004469EC" w:rsidRPr="00540907" w14:paraId="25AF7417" w14:textId="77777777" w:rsidTr="00211FA3">
        <w:trPr>
          <w:trHeight w:val="290"/>
        </w:trPr>
        <w:tc>
          <w:tcPr>
            <w:tcW w:w="4054" w:type="dxa"/>
            <w:tcBorders>
              <w:top w:val="nil"/>
              <w:left w:val="nil"/>
              <w:bottom w:val="nil"/>
              <w:right w:val="nil"/>
            </w:tcBorders>
            <w:shd w:val="clear" w:color="auto" w:fill="auto"/>
            <w:noWrap/>
            <w:vAlign w:val="bottom"/>
            <w:hideMark/>
          </w:tcPr>
          <w:p w14:paraId="22878D6A" w14:textId="77777777" w:rsidR="004469EC" w:rsidRPr="00C07E62" w:rsidRDefault="004469EC" w:rsidP="004469EC">
            <w:pPr>
              <w:spacing w:after="0" w:line="240" w:lineRule="auto"/>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 xml:space="preserve">        1) Raise BA share to 50%</w:t>
            </w:r>
          </w:p>
        </w:tc>
        <w:tc>
          <w:tcPr>
            <w:tcW w:w="1217" w:type="dxa"/>
            <w:gridSpan w:val="2"/>
            <w:tcBorders>
              <w:top w:val="nil"/>
              <w:left w:val="nil"/>
              <w:bottom w:val="nil"/>
              <w:right w:val="nil"/>
            </w:tcBorders>
            <w:shd w:val="clear" w:color="auto" w:fill="auto"/>
            <w:noWrap/>
            <w:vAlign w:val="center"/>
            <w:hideMark/>
          </w:tcPr>
          <w:p w14:paraId="4548E756" w14:textId="0B171918" w:rsidR="004469EC" w:rsidRPr="00420C9A" w:rsidRDefault="004469EC" w:rsidP="004469EC">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2.25</w:t>
            </w:r>
          </w:p>
        </w:tc>
        <w:tc>
          <w:tcPr>
            <w:tcW w:w="1218" w:type="dxa"/>
            <w:gridSpan w:val="2"/>
            <w:tcBorders>
              <w:top w:val="nil"/>
              <w:left w:val="nil"/>
              <w:bottom w:val="nil"/>
              <w:right w:val="nil"/>
            </w:tcBorders>
            <w:shd w:val="clear" w:color="auto" w:fill="auto"/>
            <w:noWrap/>
            <w:vAlign w:val="center"/>
            <w:hideMark/>
          </w:tcPr>
          <w:p w14:paraId="18DFA131" w14:textId="102A6791" w:rsidR="004469EC" w:rsidRPr="00420C9A" w:rsidRDefault="004469EC" w:rsidP="004469EC">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5.21</w:t>
            </w:r>
          </w:p>
        </w:tc>
        <w:tc>
          <w:tcPr>
            <w:tcW w:w="1218" w:type="dxa"/>
            <w:gridSpan w:val="2"/>
            <w:tcBorders>
              <w:top w:val="nil"/>
              <w:left w:val="nil"/>
              <w:bottom w:val="nil"/>
              <w:right w:val="nil"/>
            </w:tcBorders>
            <w:shd w:val="clear" w:color="auto" w:fill="auto"/>
            <w:noWrap/>
            <w:vAlign w:val="center"/>
            <w:hideMark/>
          </w:tcPr>
          <w:p w14:paraId="56378B33" w14:textId="45D3E1D8" w:rsidR="004469EC" w:rsidRPr="00420C9A" w:rsidRDefault="004469EC" w:rsidP="004469EC">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1.54</w:t>
            </w:r>
          </w:p>
        </w:tc>
        <w:tc>
          <w:tcPr>
            <w:tcW w:w="1218" w:type="dxa"/>
            <w:gridSpan w:val="2"/>
            <w:tcBorders>
              <w:top w:val="nil"/>
              <w:left w:val="nil"/>
              <w:bottom w:val="nil"/>
              <w:right w:val="nil"/>
            </w:tcBorders>
            <w:shd w:val="clear" w:color="auto" w:fill="auto"/>
            <w:noWrap/>
            <w:vAlign w:val="center"/>
            <w:hideMark/>
          </w:tcPr>
          <w:p w14:paraId="2BE3F86C" w14:textId="6C8BEFD6" w:rsidR="004469EC" w:rsidRPr="00420C9A" w:rsidRDefault="004469EC" w:rsidP="004469EC">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3.57</w:t>
            </w:r>
          </w:p>
        </w:tc>
        <w:tc>
          <w:tcPr>
            <w:tcW w:w="1218" w:type="dxa"/>
            <w:gridSpan w:val="2"/>
            <w:tcBorders>
              <w:top w:val="nil"/>
              <w:left w:val="nil"/>
              <w:bottom w:val="nil"/>
              <w:right w:val="nil"/>
            </w:tcBorders>
            <w:shd w:val="clear" w:color="auto" w:fill="auto"/>
            <w:noWrap/>
            <w:vAlign w:val="center"/>
            <w:hideMark/>
          </w:tcPr>
          <w:p w14:paraId="63BE195B" w14:textId="4F7CD2D0" w:rsidR="004469EC" w:rsidRPr="00420C9A" w:rsidRDefault="004469EC" w:rsidP="004469EC">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2.32</w:t>
            </w:r>
          </w:p>
        </w:tc>
        <w:tc>
          <w:tcPr>
            <w:tcW w:w="1218" w:type="dxa"/>
            <w:tcBorders>
              <w:top w:val="nil"/>
              <w:left w:val="nil"/>
              <w:bottom w:val="nil"/>
              <w:right w:val="nil"/>
            </w:tcBorders>
            <w:shd w:val="clear" w:color="auto" w:fill="auto"/>
            <w:noWrap/>
            <w:vAlign w:val="center"/>
            <w:hideMark/>
          </w:tcPr>
          <w:p w14:paraId="0EDF94E6" w14:textId="02B048F6" w:rsidR="004469EC" w:rsidRPr="00420C9A" w:rsidRDefault="004469EC" w:rsidP="004469EC">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2.80</w:t>
            </w:r>
          </w:p>
        </w:tc>
        <w:tc>
          <w:tcPr>
            <w:tcW w:w="1599" w:type="dxa"/>
            <w:tcBorders>
              <w:top w:val="nil"/>
              <w:left w:val="nil"/>
              <w:bottom w:val="nil"/>
              <w:right w:val="nil"/>
            </w:tcBorders>
            <w:shd w:val="clear" w:color="auto" w:fill="auto"/>
            <w:noWrap/>
            <w:vAlign w:val="center"/>
            <w:hideMark/>
          </w:tcPr>
          <w:p w14:paraId="325FF10E" w14:textId="3FEBBF36" w:rsidR="004469EC" w:rsidRPr="00420C9A" w:rsidRDefault="004469EC" w:rsidP="004469EC">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0.398</w:t>
            </w:r>
          </w:p>
        </w:tc>
      </w:tr>
      <w:tr w:rsidR="004469EC" w:rsidRPr="00540907" w14:paraId="567B037D" w14:textId="77777777" w:rsidTr="00211FA3">
        <w:trPr>
          <w:trHeight w:val="290"/>
        </w:trPr>
        <w:tc>
          <w:tcPr>
            <w:tcW w:w="4054" w:type="dxa"/>
            <w:tcBorders>
              <w:top w:val="nil"/>
              <w:left w:val="nil"/>
              <w:bottom w:val="nil"/>
              <w:right w:val="nil"/>
            </w:tcBorders>
            <w:shd w:val="clear" w:color="auto" w:fill="auto"/>
            <w:noWrap/>
            <w:vAlign w:val="bottom"/>
            <w:hideMark/>
          </w:tcPr>
          <w:p w14:paraId="57054D34" w14:textId="77777777" w:rsidR="004469EC" w:rsidRPr="00C07E62" w:rsidRDefault="004469EC" w:rsidP="004469EC">
            <w:pPr>
              <w:spacing w:after="0" w:line="240" w:lineRule="auto"/>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 xml:space="preserve">        2) + Raise AA share to 15%</w:t>
            </w:r>
          </w:p>
        </w:tc>
        <w:tc>
          <w:tcPr>
            <w:tcW w:w="1217" w:type="dxa"/>
            <w:gridSpan w:val="2"/>
            <w:tcBorders>
              <w:top w:val="nil"/>
              <w:left w:val="nil"/>
              <w:bottom w:val="nil"/>
              <w:right w:val="nil"/>
            </w:tcBorders>
            <w:shd w:val="clear" w:color="auto" w:fill="auto"/>
            <w:noWrap/>
            <w:vAlign w:val="center"/>
            <w:hideMark/>
          </w:tcPr>
          <w:p w14:paraId="016F9C3C" w14:textId="52135D26" w:rsidR="004469EC" w:rsidRPr="00420C9A" w:rsidRDefault="004469EC" w:rsidP="004469EC">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2.24</w:t>
            </w:r>
          </w:p>
        </w:tc>
        <w:tc>
          <w:tcPr>
            <w:tcW w:w="1218" w:type="dxa"/>
            <w:gridSpan w:val="2"/>
            <w:tcBorders>
              <w:top w:val="nil"/>
              <w:left w:val="nil"/>
              <w:bottom w:val="nil"/>
              <w:right w:val="nil"/>
            </w:tcBorders>
            <w:shd w:val="clear" w:color="auto" w:fill="auto"/>
            <w:noWrap/>
            <w:vAlign w:val="center"/>
            <w:hideMark/>
          </w:tcPr>
          <w:p w14:paraId="31C96331" w14:textId="4BE9662D" w:rsidR="004469EC" w:rsidRPr="00420C9A" w:rsidRDefault="004469EC" w:rsidP="004469EC">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5.15</w:t>
            </w:r>
          </w:p>
        </w:tc>
        <w:tc>
          <w:tcPr>
            <w:tcW w:w="1218" w:type="dxa"/>
            <w:gridSpan w:val="2"/>
            <w:tcBorders>
              <w:top w:val="nil"/>
              <w:left w:val="nil"/>
              <w:bottom w:val="nil"/>
              <w:right w:val="nil"/>
            </w:tcBorders>
            <w:shd w:val="clear" w:color="auto" w:fill="auto"/>
            <w:noWrap/>
            <w:vAlign w:val="center"/>
            <w:hideMark/>
          </w:tcPr>
          <w:p w14:paraId="15EF2DE4" w14:textId="5401B15A" w:rsidR="004469EC" w:rsidRPr="00420C9A" w:rsidRDefault="004469EC" w:rsidP="004469EC">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1.56</w:t>
            </w:r>
          </w:p>
        </w:tc>
        <w:tc>
          <w:tcPr>
            <w:tcW w:w="1218" w:type="dxa"/>
            <w:gridSpan w:val="2"/>
            <w:tcBorders>
              <w:top w:val="nil"/>
              <w:left w:val="nil"/>
              <w:bottom w:val="nil"/>
              <w:right w:val="nil"/>
            </w:tcBorders>
            <w:shd w:val="clear" w:color="auto" w:fill="auto"/>
            <w:noWrap/>
            <w:vAlign w:val="center"/>
            <w:hideMark/>
          </w:tcPr>
          <w:p w14:paraId="13C02FB4" w14:textId="5FFD9DD7" w:rsidR="004469EC" w:rsidRPr="00420C9A" w:rsidRDefault="004469EC" w:rsidP="004469EC">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3.58</w:t>
            </w:r>
          </w:p>
        </w:tc>
        <w:tc>
          <w:tcPr>
            <w:tcW w:w="1218" w:type="dxa"/>
            <w:gridSpan w:val="2"/>
            <w:tcBorders>
              <w:top w:val="nil"/>
              <w:left w:val="nil"/>
              <w:bottom w:val="nil"/>
              <w:right w:val="nil"/>
            </w:tcBorders>
            <w:shd w:val="clear" w:color="auto" w:fill="auto"/>
            <w:noWrap/>
            <w:vAlign w:val="center"/>
            <w:hideMark/>
          </w:tcPr>
          <w:p w14:paraId="4EF2BA22" w14:textId="1F9D1A46" w:rsidR="004469EC" w:rsidRPr="00420C9A" w:rsidRDefault="004469EC" w:rsidP="004469EC">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2.30</w:t>
            </w:r>
          </w:p>
        </w:tc>
        <w:tc>
          <w:tcPr>
            <w:tcW w:w="1218" w:type="dxa"/>
            <w:tcBorders>
              <w:top w:val="nil"/>
              <w:left w:val="nil"/>
              <w:bottom w:val="nil"/>
              <w:right w:val="nil"/>
            </w:tcBorders>
            <w:shd w:val="clear" w:color="auto" w:fill="auto"/>
            <w:noWrap/>
            <w:vAlign w:val="center"/>
            <w:hideMark/>
          </w:tcPr>
          <w:p w14:paraId="50DB9337" w14:textId="6905A8BF" w:rsidR="004469EC" w:rsidRPr="00420C9A" w:rsidRDefault="004469EC" w:rsidP="004469EC">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2.80</w:t>
            </w:r>
          </w:p>
        </w:tc>
        <w:tc>
          <w:tcPr>
            <w:tcW w:w="1599" w:type="dxa"/>
            <w:tcBorders>
              <w:top w:val="nil"/>
              <w:left w:val="nil"/>
              <w:bottom w:val="nil"/>
              <w:right w:val="nil"/>
            </w:tcBorders>
            <w:shd w:val="clear" w:color="auto" w:fill="auto"/>
            <w:noWrap/>
            <w:vAlign w:val="center"/>
            <w:hideMark/>
          </w:tcPr>
          <w:p w14:paraId="12AB7382" w14:textId="1927A5DE" w:rsidR="004469EC" w:rsidRPr="00420C9A" w:rsidRDefault="004469EC" w:rsidP="004469EC">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0.395</w:t>
            </w:r>
          </w:p>
        </w:tc>
      </w:tr>
      <w:tr w:rsidR="004469EC" w:rsidRPr="00540907" w14:paraId="08088EF0" w14:textId="77777777" w:rsidTr="00211FA3">
        <w:trPr>
          <w:trHeight w:val="290"/>
        </w:trPr>
        <w:tc>
          <w:tcPr>
            <w:tcW w:w="4054" w:type="dxa"/>
            <w:tcBorders>
              <w:top w:val="nil"/>
              <w:left w:val="nil"/>
              <w:bottom w:val="nil"/>
              <w:right w:val="nil"/>
            </w:tcBorders>
            <w:shd w:val="clear" w:color="auto" w:fill="auto"/>
            <w:noWrap/>
            <w:vAlign w:val="bottom"/>
            <w:hideMark/>
          </w:tcPr>
          <w:p w14:paraId="4841B444" w14:textId="77777777" w:rsidR="004469EC" w:rsidRPr="00C07E62" w:rsidRDefault="004469EC" w:rsidP="004469EC">
            <w:pPr>
              <w:spacing w:after="0" w:line="240" w:lineRule="auto"/>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 xml:space="preserve">        3) 60% BA share, 20% AA share</w:t>
            </w:r>
          </w:p>
        </w:tc>
        <w:tc>
          <w:tcPr>
            <w:tcW w:w="1217" w:type="dxa"/>
            <w:gridSpan w:val="2"/>
            <w:tcBorders>
              <w:top w:val="nil"/>
              <w:left w:val="nil"/>
              <w:bottom w:val="nil"/>
              <w:right w:val="nil"/>
            </w:tcBorders>
            <w:shd w:val="clear" w:color="auto" w:fill="auto"/>
            <w:noWrap/>
            <w:vAlign w:val="center"/>
            <w:hideMark/>
          </w:tcPr>
          <w:p w14:paraId="1BAD7716" w14:textId="21130081" w:rsidR="004469EC" w:rsidRPr="00420C9A" w:rsidRDefault="004469EC" w:rsidP="004469EC">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2.08</w:t>
            </w:r>
          </w:p>
        </w:tc>
        <w:tc>
          <w:tcPr>
            <w:tcW w:w="1218" w:type="dxa"/>
            <w:gridSpan w:val="2"/>
            <w:tcBorders>
              <w:top w:val="nil"/>
              <w:left w:val="nil"/>
              <w:bottom w:val="nil"/>
              <w:right w:val="nil"/>
            </w:tcBorders>
            <w:shd w:val="clear" w:color="auto" w:fill="auto"/>
            <w:noWrap/>
            <w:vAlign w:val="center"/>
            <w:hideMark/>
          </w:tcPr>
          <w:p w14:paraId="68BE4D6C" w14:textId="710719F2" w:rsidR="004469EC" w:rsidRPr="00420C9A" w:rsidRDefault="004469EC" w:rsidP="004469EC">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4.85</w:t>
            </w:r>
          </w:p>
        </w:tc>
        <w:tc>
          <w:tcPr>
            <w:tcW w:w="1218" w:type="dxa"/>
            <w:gridSpan w:val="2"/>
            <w:tcBorders>
              <w:top w:val="nil"/>
              <w:left w:val="nil"/>
              <w:bottom w:val="nil"/>
              <w:right w:val="nil"/>
            </w:tcBorders>
            <w:shd w:val="clear" w:color="auto" w:fill="auto"/>
            <w:noWrap/>
            <w:vAlign w:val="center"/>
            <w:hideMark/>
          </w:tcPr>
          <w:p w14:paraId="67AD1E8B" w14:textId="387B44E3" w:rsidR="004469EC" w:rsidRPr="00420C9A" w:rsidRDefault="004469EC" w:rsidP="004469EC">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1.50</w:t>
            </w:r>
          </w:p>
        </w:tc>
        <w:tc>
          <w:tcPr>
            <w:tcW w:w="1218" w:type="dxa"/>
            <w:gridSpan w:val="2"/>
            <w:tcBorders>
              <w:top w:val="nil"/>
              <w:left w:val="nil"/>
              <w:bottom w:val="nil"/>
              <w:right w:val="nil"/>
            </w:tcBorders>
            <w:shd w:val="clear" w:color="auto" w:fill="auto"/>
            <w:noWrap/>
            <w:vAlign w:val="center"/>
            <w:hideMark/>
          </w:tcPr>
          <w:p w14:paraId="7779B36D" w14:textId="6C0E8890" w:rsidR="004469EC" w:rsidRPr="00420C9A" w:rsidRDefault="004469EC" w:rsidP="004469EC">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3.50</w:t>
            </w:r>
          </w:p>
        </w:tc>
        <w:tc>
          <w:tcPr>
            <w:tcW w:w="1218" w:type="dxa"/>
            <w:gridSpan w:val="2"/>
            <w:tcBorders>
              <w:top w:val="nil"/>
              <w:left w:val="nil"/>
              <w:bottom w:val="nil"/>
              <w:right w:val="nil"/>
            </w:tcBorders>
            <w:shd w:val="clear" w:color="auto" w:fill="auto"/>
            <w:noWrap/>
            <w:vAlign w:val="center"/>
            <w:hideMark/>
          </w:tcPr>
          <w:p w14:paraId="12E5633F" w14:textId="0499DCD3" w:rsidR="004469EC" w:rsidRPr="00420C9A" w:rsidRDefault="004469EC" w:rsidP="004469EC">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2.33</w:t>
            </w:r>
          </w:p>
        </w:tc>
        <w:tc>
          <w:tcPr>
            <w:tcW w:w="1218" w:type="dxa"/>
            <w:tcBorders>
              <w:top w:val="nil"/>
              <w:left w:val="nil"/>
              <w:bottom w:val="nil"/>
              <w:right w:val="nil"/>
            </w:tcBorders>
            <w:shd w:val="clear" w:color="auto" w:fill="auto"/>
            <w:noWrap/>
            <w:vAlign w:val="center"/>
            <w:hideMark/>
          </w:tcPr>
          <w:p w14:paraId="051D2B1A" w14:textId="1DB93C55" w:rsidR="004469EC" w:rsidRPr="00420C9A" w:rsidRDefault="004469EC" w:rsidP="004469EC">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2.71</w:t>
            </w:r>
          </w:p>
        </w:tc>
        <w:tc>
          <w:tcPr>
            <w:tcW w:w="1599" w:type="dxa"/>
            <w:tcBorders>
              <w:top w:val="nil"/>
              <w:left w:val="nil"/>
              <w:bottom w:val="nil"/>
              <w:right w:val="nil"/>
            </w:tcBorders>
            <w:shd w:val="clear" w:color="auto" w:fill="auto"/>
            <w:noWrap/>
            <w:vAlign w:val="center"/>
            <w:hideMark/>
          </w:tcPr>
          <w:p w14:paraId="4B0B354C" w14:textId="664C4CC3" w:rsidR="004469EC" w:rsidRPr="00420C9A" w:rsidRDefault="004469EC" w:rsidP="004469EC">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0.378</w:t>
            </w:r>
          </w:p>
        </w:tc>
      </w:tr>
      <w:tr w:rsidR="004469EC" w:rsidRPr="00540907" w14:paraId="566D136B" w14:textId="77777777" w:rsidTr="00211FA3">
        <w:trPr>
          <w:trHeight w:val="290"/>
        </w:trPr>
        <w:tc>
          <w:tcPr>
            <w:tcW w:w="4054" w:type="dxa"/>
            <w:tcBorders>
              <w:top w:val="nil"/>
              <w:left w:val="nil"/>
              <w:bottom w:val="nil"/>
              <w:right w:val="nil"/>
            </w:tcBorders>
            <w:shd w:val="clear" w:color="auto" w:fill="auto"/>
            <w:noWrap/>
            <w:vAlign w:val="bottom"/>
            <w:hideMark/>
          </w:tcPr>
          <w:p w14:paraId="4B6036FF" w14:textId="77777777" w:rsidR="004469EC" w:rsidRPr="00C07E62" w:rsidRDefault="004469EC" w:rsidP="004469EC">
            <w:pPr>
              <w:spacing w:after="0" w:line="240" w:lineRule="auto"/>
              <w:rPr>
                <w:rFonts w:ascii="Times New Roman" w:eastAsia="Times New Roman" w:hAnsi="Times New Roman" w:cs="Times New Roman"/>
                <w:i/>
                <w:color w:val="000000"/>
                <w:sz w:val="24"/>
                <w:szCs w:val="24"/>
              </w:rPr>
            </w:pPr>
            <w:r w:rsidRPr="00C07E62">
              <w:rPr>
                <w:rFonts w:ascii="Times New Roman" w:eastAsia="Times New Roman" w:hAnsi="Times New Roman" w:cs="Times New Roman"/>
                <w:color w:val="000000"/>
                <w:sz w:val="24"/>
                <w:szCs w:val="24"/>
              </w:rPr>
              <w:t xml:space="preserve">    </w:t>
            </w:r>
            <w:r w:rsidRPr="00C07E62">
              <w:rPr>
                <w:rFonts w:ascii="Times New Roman" w:eastAsia="Times New Roman" w:hAnsi="Times New Roman" w:cs="Times New Roman"/>
                <w:i/>
                <w:color w:val="000000"/>
                <w:sz w:val="24"/>
                <w:szCs w:val="24"/>
              </w:rPr>
              <w:t>Causal Parameter Method</w:t>
            </w:r>
          </w:p>
        </w:tc>
        <w:tc>
          <w:tcPr>
            <w:tcW w:w="1217" w:type="dxa"/>
            <w:gridSpan w:val="2"/>
            <w:tcBorders>
              <w:top w:val="nil"/>
              <w:left w:val="nil"/>
              <w:bottom w:val="nil"/>
              <w:right w:val="nil"/>
            </w:tcBorders>
            <w:shd w:val="clear" w:color="auto" w:fill="auto"/>
            <w:noWrap/>
            <w:vAlign w:val="bottom"/>
            <w:hideMark/>
          </w:tcPr>
          <w:p w14:paraId="452ABC1D" w14:textId="77777777" w:rsidR="004469EC" w:rsidRPr="004469EC" w:rsidRDefault="004469EC" w:rsidP="004469EC">
            <w:pPr>
              <w:spacing w:after="0" w:line="240" w:lineRule="auto"/>
              <w:rPr>
                <w:rFonts w:ascii="Times New Roman" w:eastAsia="Times New Roman" w:hAnsi="Times New Roman" w:cs="Times New Roman"/>
                <w:color w:val="000000"/>
                <w:sz w:val="24"/>
                <w:szCs w:val="24"/>
              </w:rPr>
            </w:pPr>
          </w:p>
        </w:tc>
        <w:tc>
          <w:tcPr>
            <w:tcW w:w="1218" w:type="dxa"/>
            <w:gridSpan w:val="2"/>
            <w:tcBorders>
              <w:top w:val="nil"/>
              <w:left w:val="nil"/>
              <w:bottom w:val="nil"/>
              <w:right w:val="nil"/>
            </w:tcBorders>
            <w:shd w:val="clear" w:color="auto" w:fill="auto"/>
            <w:noWrap/>
            <w:vAlign w:val="bottom"/>
            <w:hideMark/>
          </w:tcPr>
          <w:p w14:paraId="137F7875" w14:textId="77777777" w:rsidR="004469EC" w:rsidRPr="004469EC" w:rsidRDefault="004469EC" w:rsidP="004469EC">
            <w:pPr>
              <w:spacing w:after="0" w:line="240" w:lineRule="auto"/>
              <w:rPr>
                <w:rFonts w:ascii="Times New Roman" w:eastAsia="Times New Roman" w:hAnsi="Times New Roman" w:cs="Times New Roman"/>
                <w:sz w:val="24"/>
                <w:szCs w:val="24"/>
              </w:rPr>
            </w:pPr>
          </w:p>
        </w:tc>
        <w:tc>
          <w:tcPr>
            <w:tcW w:w="1218" w:type="dxa"/>
            <w:gridSpan w:val="2"/>
            <w:tcBorders>
              <w:top w:val="nil"/>
              <w:left w:val="nil"/>
              <w:bottom w:val="nil"/>
              <w:right w:val="nil"/>
            </w:tcBorders>
            <w:shd w:val="clear" w:color="auto" w:fill="auto"/>
            <w:noWrap/>
            <w:vAlign w:val="bottom"/>
            <w:hideMark/>
          </w:tcPr>
          <w:p w14:paraId="1C3CE4C4" w14:textId="77777777" w:rsidR="004469EC" w:rsidRPr="004469EC" w:rsidRDefault="004469EC" w:rsidP="004469EC">
            <w:pPr>
              <w:spacing w:after="0" w:line="240" w:lineRule="auto"/>
              <w:rPr>
                <w:rFonts w:ascii="Times New Roman" w:eastAsia="Times New Roman" w:hAnsi="Times New Roman" w:cs="Times New Roman"/>
                <w:sz w:val="24"/>
                <w:szCs w:val="24"/>
              </w:rPr>
            </w:pPr>
          </w:p>
        </w:tc>
        <w:tc>
          <w:tcPr>
            <w:tcW w:w="1218" w:type="dxa"/>
            <w:gridSpan w:val="2"/>
            <w:tcBorders>
              <w:top w:val="nil"/>
              <w:left w:val="nil"/>
              <w:bottom w:val="nil"/>
              <w:right w:val="nil"/>
            </w:tcBorders>
            <w:shd w:val="clear" w:color="auto" w:fill="auto"/>
            <w:noWrap/>
            <w:vAlign w:val="bottom"/>
            <w:hideMark/>
          </w:tcPr>
          <w:p w14:paraId="6720F8E2" w14:textId="77777777" w:rsidR="004469EC" w:rsidRPr="004469EC" w:rsidRDefault="004469EC" w:rsidP="004469EC">
            <w:pPr>
              <w:spacing w:after="0" w:line="240" w:lineRule="auto"/>
              <w:rPr>
                <w:rFonts w:ascii="Times New Roman" w:eastAsia="Times New Roman" w:hAnsi="Times New Roman" w:cs="Times New Roman"/>
                <w:sz w:val="24"/>
                <w:szCs w:val="24"/>
              </w:rPr>
            </w:pPr>
          </w:p>
        </w:tc>
        <w:tc>
          <w:tcPr>
            <w:tcW w:w="1218" w:type="dxa"/>
            <w:gridSpan w:val="2"/>
            <w:tcBorders>
              <w:top w:val="nil"/>
              <w:left w:val="nil"/>
              <w:bottom w:val="nil"/>
              <w:right w:val="nil"/>
            </w:tcBorders>
            <w:shd w:val="clear" w:color="auto" w:fill="auto"/>
            <w:noWrap/>
            <w:vAlign w:val="bottom"/>
            <w:hideMark/>
          </w:tcPr>
          <w:p w14:paraId="76F8F374" w14:textId="77777777" w:rsidR="004469EC" w:rsidRPr="004469EC" w:rsidRDefault="004469EC" w:rsidP="004469EC">
            <w:pPr>
              <w:spacing w:after="0" w:line="240" w:lineRule="auto"/>
              <w:rPr>
                <w:rFonts w:ascii="Times New Roman" w:eastAsia="Times New Roman" w:hAnsi="Times New Roman" w:cs="Times New Roman"/>
                <w:sz w:val="24"/>
                <w:szCs w:val="24"/>
              </w:rPr>
            </w:pPr>
          </w:p>
        </w:tc>
        <w:tc>
          <w:tcPr>
            <w:tcW w:w="1218" w:type="dxa"/>
            <w:tcBorders>
              <w:top w:val="nil"/>
              <w:left w:val="nil"/>
              <w:bottom w:val="nil"/>
              <w:right w:val="nil"/>
            </w:tcBorders>
            <w:shd w:val="clear" w:color="auto" w:fill="auto"/>
            <w:noWrap/>
            <w:vAlign w:val="bottom"/>
            <w:hideMark/>
          </w:tcPr>
          <w:p w14:paraId="47A0A4EC" w14:textId="77777777" w:rsidR="004469EC" w:rsidRPr="004469EC" w:rsidRDefault="004469EC" w:rsidP="004469EC">
            <w:pPr>
              <w:spacing w:after="0" w:line="240" w:lineRule="auto"/>
              <w:rPr>
                <w:rFonts w:ascii="Times New Roman" w:eastAsia="Times New Roman" w:hAnsi="Times New Roman" w:cs="Times New Roman"/>
                <w:sz w:val="24"/>
                <w:szCs w:val="24"/>
              </w:rPr>
            </w:pPr>
          </w:p>
        </w:tc>
        <w:tc>
          <w:tcPr>
            <w:tcW w:w="1599" w:type="dxa"/>
            <w:tcBorders>
              <w:top w:val="nil"/>
              <w:left w:val="nil"/>
              <w:bottom w:val="nil"/>
              <w:right w:val="nil"/>
            </w:tcBorders>
            <w:shd w:val="clear" w:color="auto" w:fill="auto"/>
            <w:noWrap/>
            <w:vAlign w:val="bottom"/>
            <w:hideMark/>
          </w:tcPr>
          <w:p w14:paraId="78E3CE45" w14:textId="77777777" w:rsidR="004469EC" w:rsidRPr="004469EC" w:rsidRDefault="004469EC" w:rsidP="004469EC">
            <w:pPr>
              <w:spacing w:after="0" w:line="240" w:lineRule="auto"/>
              <w:rPr>
                <w:rFonts w:ascii="Times New Roman" w:eastAsia="Times New Roman" w:hAnsi="Times New Roman" w:cs="Times New Roman"/>
                <w:sz w:val="24"/>
                <w:szCs w:val="24"/>
              </w:rPr>
            </w:pPr>
          </w:p>
        </w:tc>
      </w:tr>
      <w:tr w:rsidR="004469EC" w:rsidRPr="00540907" w14:paraId="57D4F326" w14:textId="77777777" w:rsidTr="00211FA3">
        <w:trPr>
          <w:trHeight w:val="290"/>
        </w:trPr>
        <w:tc>
          <w:tcPr>
            <w:tcW w:w="4054" w:type="dxa"/>
            <w:tcBorders>
              <w:top w:val="nil"/>
              <w:left w:val="nil"/>
              <w:bottom w:val="nil"/>
              <w:right w:val="nil"/>
            </w:tcBorders>
            <w:shd w:val="clear" w:color="auto" w:fill="auto"/>
            <w:noWrap/>
            <w:vAlign w:val="bottom"/>
            <w:hideMark/>
          </w:tcPr>
          <w:p w14:paraId="318ECE82" w14:textId="77777777" w:rsidR="004469EC" w:rsidRPr="00C07E62" w:rsidRDefault="004469EC" w:rsidP="004469EC">
            <w:pPr>
              <w:spacing w:after="0" w:line="240" w:lineRule="auto"/>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 xml:space="preserve">        1) Raise BA share to 50%</w:t>
            </w:r>
          </w:p>
        </w:tc>
        <w:tc>
          <w:tcPr>
            <w:tcW w:w="1217" w:type="dxa"/>
            <w:gridSpan w:val="2"/>
            <w:tcBorders>
              <w:top w:val="nil"/>
              <w:left w:val="nil"/>
              <w:bottom w:val="nil"/>
              <w:right w:val="nil"/>
            </w:tcBorders>
            <w:shd w:val="clear" w:color="auto" w:fill="auto"/>
            <w:noWrap/>
            <w:vAlign w:val="center"/>
            <w:hideMark/>
          </w:tcPr>
          <w:p w14:paraId="4E951483" w14:textId="1829C469" w:rsidR="004469EC" w:rsidRPr="00420C9A" w:rsidRDefault="004469EC" w:rsidP="004469EC">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2.25</w:t>
            </w:r>
          </w:p>
        </w:tc>
        <w:tc>
          <w:tcPr>
            <w:tcW w:w="1218" w:type="dxa"/>
            <w:gridSpan w:val="2"/>
            <w:tcBorders>
              <w:top w:val="nil"/>
              <w:left w:val="nil"/>
              <w:bottom w:val="nil"/>
              <w:right w:val="nil"/>
            </w:tcBorders>
            <w:shd w:val="clear" w:color="auto" w:fill="auto"/>
            <w:noWrap/>
            <w:vAlign w:val="center"/>
            <w:hideMark/>
          </w:tcPr>
          <w:p w14:paraId="4840C3C6" w14:textId="1560B562" w:rsidR="004469EC" w:rsidRPr="00420C9A" w:rsidRDefault="004469EC" w:rsidP="004469EC">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5.21</w:t>
            </w:r>
          </w:p>
        </w:tc>
        <w:tc>
          <w:tcPr>
            <w:tcW w:w="1218" w:type="dxa"/>
            <w:gridSpan w:val="2"/>
            <w:tcBorders>
              <w:top w:val="nil"/>
              <w:left w:val="nil"/>
              <w:bottom w:val="nil"/>
              <w:right w:val="nil"/>
            </w:tcBorders>
            <w:shd w:val="clear" w:color="auto" w:fill="auto"/>
            <w:noWrap/>
            <w:vAlign w:val="center"/>
            <w:hideMark/>
          </w:tcPr>
          <w:p w14:paraId="77A36921" w14:textId="3A1B1DC9" w:rsidR="004469EC" w:rsidRPr="00420C9A" w:rsidRDefault="004469EC" w:rsidP="004469EC">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1.54</w:t>
            </w:r>
          </w:p>
        </w:tc>
        <w:tc>
          <w:tcPr>
            <w:tcW w:w="1218" w:type="dxa"/>
            <w:gridSpan w:val="2"/>
            <w:tcBorders>
              <w:top w:val="nil"/>
              <w:left w:val="nil"/>
              <w:bottom w:val="nil"/>
              <w:right w:val="nil"/>
            </w:tcBorders>
            <w:shd w:val="clear" w:color="auto" w:fill="auto"/>
            <w:noWrap/>
            <w:vAlign w:val="center"/>
            <w:hideMark/>
          </w:tcPr>
          <w:p w14:paraId="53050DE6" w14:textId="3D526FCD" w:rsidR="004469EC" w:rsidRPr="00420C9A" w:rsidRDefault="004469EC" w:rsidP="004469EC">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3.57</w:t>
            </w:r>
          </w:p>
        </w:tc>
        <w:tc>
          <w:tcPr>
            <w:tcW w:w="1218" w:type="dxa"/>
            <w:gridSpan w:val="2"/>
            <w:tcBorders>
              <w:top w:val="nil"/>
              <w:left w:val="nil"/>
              <w:bottom w:val="nil"/>
              <w:right w:val="nil"/>
            </w:tcBorders>
            <w:shd w:val="clear" w:color="auto" w:fill="auto"/>
            <w:noWrap/>
            <w:vAlign w:val="center"/>
            <w:hideMark/>
          </w:tcPr>
          <w:p w14:paraId="03F31497" w14:textId="1E97E5C3" w:rsidR="004469EC" w:rsidRPr="00420C9A" w:rsidRDefault="004469EC" w:rsidP="004469EC">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2.32</w:t>
            </w:r>
          </w:p>
        </w:tc>
        <w:tc>
          <w:tcPr>
            <w:tcW w:w="1218" w:type="dxa"/>
            <w:tcBorders>
              <w:top w:val="nil"/>
              <w:left w:val="nil"/>
              <w:bottom w:val="nil"/>
              <w:right w:val="nil"/>
            </w:tcBorders>
            <w:shd w:val="clear" w:color="auto" w:fill="auto"/>
            <w:noWrap/>
            <w:vAlign w:val="center"/>
            <w:hideMark/>
          </w:tcPr>
          <w:p w14:paraId="1F6984C7" w14:textId="44563EF5" w:rsidR="004469EC" w:rsidRPr="00420C9A" w:rsidRDefault="004469EC" w:rsidP="004469EC">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2.64</w:t>
            </w:r>
          </w:p>
        </w:tc>
        <w:tc>
          <w:tcPr>
            <w:tcW w:w="1599" w:type="dxa"/>
            <w:tcBorders>
              <w:top w:val="nil"/>
              <w:left w:val="nil"/>
              <w:bottom w:val="nil"/>
              <w:right w:val="nil"/>
            </w:tcBorders>
            <w:shd w:val="clear" w:color="auto" w:fill="auto"/>
            <w:noWrap/>
            <w:vAlign w:val="center"/>
            <w:hideMark/>
          </w:tcPr>
          <w:p w14:paraId="2E17884E" w14:textId="3BBA2408" w:rsidR="004469EC" w:rsidRPr="00420C9A" w:rsidRDefault="004469EC" w:rsidP="004469EC">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0.394</w:t>
            </w:r>
          </w:p>
        </w:tc>
      </w:tr>
      <w:tr w:rsidR="004469EC" w:rsidRPr="00540907" w14:paraId="6507FF08" w14:textId="77777777" w:rsidTr="00211FA3">
        <w:trPr>
          <w:trHeight w:val="290"/>
        </w:trPr>
        <w:tc>
          <w:tcPr>
            <w:tcW w:w="4054" w:type="dxa"/>
            <w:tcBorders>
              <w:top w:val="nil"/>
              <w:left w:val="nil"/>
              <w:bottom w:val="nil"/>
              <w:right w:val="nil"/>
            </w:tcBorders>
            <w:shd w:val="clear" w:color="auto" w:fill="auto"/>
            <w:noWrap/>
            <w:vAlign w:val="bottom"/>
            <w:hideMark/>
          </w:tcPr>
          <w:p w14:paraId="1F80D857" w14:textId="77777777" w:rsidR="004469EC" w:rsidRPr="00C07E62" w:rsidRDefault="004469EC" w:rsidP="004469EC">
            <w:pPr>
              <w:spacing w:after="0" w:line="240" w:lineRule="auto"/>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 xml:space="preserve">        2) + Raise AA share to 15%</w:t>
            </w:r>
          </w:p>
        </w:tc>
        <w:tc>
          <w:tcPr>
            <w:tcW w:w="1217" w:type="dxa"/>
            <w:gridSpan w:val="2"/>
            <w:tcBorders>
              <w:top w:val="nil"/>
              <w:left w:val="nil"/>
              <w:bottom w:val="nil"/>
              <w:right w:val="nil"/>
            </w:tcBorders>
            <w:shd w:val="clear" w:color="auto" w:fill="auto"/>
            <w:noWrap/>
            <w:vAlign w:val="center"/>
            <w:hideMark/>
          </w:tcPr>
          <w:p w14:paraId="2CF84BC9" w14:textId="6F051760" w:rsidR="004469EC" w:rsidRPr="00420C9A" w:rsidRDefault="004469EC" w:rsidP="004469EC">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2.22</w:t>
            </w:r>
          </w:p>
        </w:tc>
        <w:tc>
          <w:tcPr>
            <w:tcW w:w="1218" w:type="dxa"/>
            <w:gridSpan w:val="2"/>
            <w:tcBorders>
              <w:top w:val="nil"/>
              <w:left w:val="nil"/>
              <w:bottom w:val="nil"/>
              <w:right w:val="nil"/>
            </w:tcBorders>
            <w:shd w:val="clear" w:color="auto" w:fill="auto"/>
            <w:noWrap/>
            <w:vAlign w:val="center"/>
            <w:hideMark/>
          </w:tcPr>
          <w:p w14:paraId="4C80311D" w14:textId="315EC13A" w:rsidR="004469EC" w:rsidRPr="00420C9A" w:rsidRDefault="004469EC" w:rsidP="004469EC">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5.10</w:t>
            </w:r>
          </w:p>
        </w:tc>
        <w:tc>
          <w:tcPr>
            <w:tcW w:w="1218" w:type="dxa"/>
            <w:gridSpan w:val="2"/>
            <w:tcBorders>
              <w:top w:val="nil"/>
              <w:left w:val="nil"/>
              <w:bottom w:val="nil"/>
              <w:right w:val="nil"/>
            </w:tcBorders>
            <w:shd w:val="clear" w:color="auto" w:fill="auto"/>
            <w:noWrap/>
            <w:vAlign w:val="center"/>
            <w:hideMark/>
          </w:tcPr>
          <w:p w14:paraId="6CE9103B" w14:textId="1B279195" w:rsidR="004469EC" w:rsidRPr="00420C9A" w:rsidRDefault="004469EC" w:rsidP="004469EC">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1.54</w:t>
            </w:r>
          </w:p>
        </w:tc>
        <w:tc>
          <w:tcPr>
            <w:tcW w:w="1218" w:type="dxa"/>
            <w:gridSpan w:val="2"/>
            <w:tcBorders>
              <w:top w:val="nil"/>
              <w:left w:val="nil"/>
              <w:bottom w:val="nil"/>
              <w:right w:val="nil"/>
            </w:tcBorders>
            <w:shd w:val="clear" w:color="auto" w:fill="auto"/>
            <w:noWrap/>
            <w:vAlign w:val="center"/>
            <w:hideMark/>
          </w:tcPr>
          <w:p w14:paraId="44209A73" w14:textId="5808CDDB" w:rsidR="004469EC" w:rsidRPr="00420C9A" w:rsidRDefault="004469EC" w:rsidP="004469EC">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3.53</w:t>
            </w:r>
          </w:p>
        </w:tc>
        <w:tc>
          <w:tcPr>
            <w:tcW w:w="1218" w:type="dxa"/>
            <w:gridSpan w:val="2"/>
            <w:tcBorders>
              <w:top w:val="nil"/>
              <w:left w:val="nil"/>
              <w:bottom w:val="nil"/>
              <w:right w:val="nil"/>
            </w:tcBorders>
            <w:shd w:val="clear" w:color="auto" w:fill="auto"/>
            <w:noWrap/>
            <w:vAlign w:val="center"/>
            <w:hideMark/>
          </w:tcPr>
          <w:p w14:paraId="31D200B9" w14:textId="64CE2465" w:rsidR="004469EC" w:rsidRPr="00420C9A" w:rsidRDefault="004469EC" w:rsidP="004469EC">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2.30</w:t>
            </w:r>
          </w:p>
        </w:tc>
        <w:tc>
          <w:tcPr>
            <w:tcW w:w="1218" w:type="dxa"/>
            <w:tcBorders>
              <w:top w:val="nil"/>
              <w:left w:val="nil"/>
              <w:bottom w:val="nil"/>
              <w:right w:val="nil"/>
            </w:tcBorders>
            <w:shd w:val="clear" w:color="auto" w:fill="auto"/>
            <w:noWrap/>
            <w:vAlign w:val="center"/>
            <w:hideMark/>
          </w:tcPr>
          <w:p w14:paraId="607295F7" w14:textId="53572EBA" w:rsidR="004469EC" w:rsidRPr="00420C9A" w:rsidRDefault="004469EC" w:rsidP="004469EC">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2.64</w:t>
            </w:r>
          </w:p>
        </w:tc>
        <w:tc>
          <w:tcPr>
            <w:tcW w:w="1599" w:type="dxa"/>
            <w:tcBorders>
              <w:top w:val="nil"/>
              <w:left w:val="nil"/>
              <w:bottom w:val="nil"/>
              <w:right w:val="nil"/>
            </w:tcBorders>
            <w:shd w:val="clear" w:color="auto" w:fill="auto"/>
            <w:noWrap/>
            <w:vAlign w:val="center"/>
            <w:hideMark/>
          </w:tcPr>
          <w:p w14:paraId="26F01FFD" w14:textId="52A86EF5" w:rsidR="004469EC" w:rsidRPr="00420C9A" w:rsidRDefault="004469EC" w:rsidP="004469EC">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0.392</w:t>
            </w:r>
          </w:p>
        </w:tc>
      </w:tr>
      <w:tr w:rsidR="004469EC" w:rsidRPr="00540907" w14:paraId="6026934C" w14:textId="77777777" w:rsidTr="00211FA3">
        <w:trPr>
          <w:trHeight w:val="290"/>
        </w:trPr>
        <w:tc>
          <w:tcPr>
            <w:tcW w:w="4054" w:type="dxa"/>
            <w:tcBorders>
              <w:top w:val="nil"/>
              <w:left w:val="nil"/>
              <w:bottom w:val="nil"/>
              <w:right w:val="nil"/>
            </w:tcBorders>
            <w:shd w:val="clear" w:color="auto" w:fill="auto"/>
            <w:noWrap/>
            <w:vAlign w:val="bottom"/>
            <w:hideMark/>
          </w:tcPr>
          <w:p w14:paraId="7ECFB2BD" w14:textId="77777777" w:rsidR="004469EC" w:rsidRPr="00C07E62" w:rsidRDefault="004469EC" w:rsidP="004469EC">
            <w:pPr>
              <w:spacing w:after="0" w:line="240" w:lineRule="auto"/>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 xml:space="preserve">        3) 60% BA share, 20% AA share</w:t>
            </w:r>
          </w:p>
        </w:tc>
        <w:tc>
          <w:tcPr>
            <w:tcW w:w="1217" w:type="dxa"/>
            <w:gridSpan w:val="2"/>
            <w:tcBorders>
              <w:top w:val="nil"/>
              <w:left w:val="nil"/>
              <w:bottom w:val="nil"/>
              <w:right w:val="nil"/>
            </w:tcBorders>
            <w:shd w:val="clear" w:color="auto" w:fill="auto"/>
            <w:noWrap/>
            <w:vAlign w:val="center"/>
            <w:hideMark/>
          </w:tcPr>
          <w:p w14:paraId="0108FEE4" w14:textId="22B5A198" w:rsidR="004469EC" w:rsidRPr="00420C9A" w:rsidRDefault="004469EC" w:rsidP="004469EC">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2.08</w:t>
            </w:r>
          </w:p>
        </w:tc>
        <w:tc>
          <w:tcPr>
            <w:tcW w:w="1218" w:type="dxa"/>
            <w:gridSpan w:val="2"/>
            <w:tcBorders>
              <w:top w:val="nil"/>
              <w:left w:val="nil"/>
              <w:bottom w:val="nil"/>
              <w:right w:val="nil"/>
            </w:tcBorders>
            <w:shd w:val="clear" w:color="auto" w:fill="auto"/>
            <w:noWrap/>
            <w:vAlign w:val="center"/>
            <w:hideMark/>
          </w:tcPr>
          <w:p w14:paraId="5127189D" w14:textId="2D050FF9" w:rsidR="004469EC" w:rsidRPr="00420C9A" w:rsidRDefault="004469EC" w:rsidP="004469EC">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4.64</w:t>
            </w:r>
          </w:p>
        </w:tc>
        <w:tc>
          <w:tcPr>
            <w:tcW w:w="1218" w:type="dxa"/>
            <w:gridSpan w:val="2"/>
            <w:tcBorders>
              <w:top w:val="nil"/>
              <w:left w:val="nil"/>
              <w:bottom w:val="nil"/>
              <w:right w:val="nil"/>
            </w:tcBorders>
            <w:shd w:val="clear" w:color="auto" w:fill="auto"/>
            <w:noWrap/>
            <w:vAlign w:val="center"/>
            <w:hideMark/>
          </w:tcPr>
          <w:p w14:paraId="63E82A2F" w14:textId="36428F6F" w:rsidR="004469EC" w:rsidRPr="00420C9A" w:rsidRDefault="004469EC" w:rsidP="004469EC">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1.47</w:t>
            </w:r>
          </w:p>
        </w:tc>
        <w:tc>
          <w:tcPr>
            <w:tcW w:w="1218" w:type="dxa"/>
            <w:gridSpan w:val="2"/>
            <w:tcBorders>
              <w:top w:val="nil"/>
              <w:left w:val="nil"/>
              <w:bottom w:val="nil"/>
              <w:right w:val="nil"/>
            </w:tcBorders>
            <w:shd w:val="clear" w:color="auto" w:fill="auto"/>
            <w:noWrap/>
            <w:vAlign w:val="center"/>
            <w:hideMark/>
          </w:tcPr>
          <w:p w14:paraId="5CA728A3" w14:textId="32857635" w:rsidR="004469EC" w:rsidRPr="00420C9A" w:rsidRDefault="004469EC" w:rsidP="004469EC">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3.29</w:t>
            </w:r>
          </w:p>
        </w:tc>
        <w:tc>
          <w:tcPr>
            <w:tcW w:w="1218" w:type="dxa"/>
            <w:gridSpan w:val="2"/>
            <w:tcBorders>
              <w:top w:val="nil"/>
              <w:left w:val="nil"/>
              <w:bottom w:val="nil"/>
              <w:right w:val="nil"/>
            </w:tcBorders>
            <w:shd w:val="clear" w:color="auto" w:fill="auto"/>
            <w:noWrap/>
            <w:vAlign w:val="center"/>
            <w:hideMark/>
          </w:tcPr>
          <w:p w14:paraId="13CECDB5" w14:textId="4514A3C6" w:rsidR="004469EC" w:rsidRPr="00420C9A" w:rsidRDefault="004469EC" w:rsidP="004469EC">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2.23</w:t>
            </w:r>
          </w:p>
        </w:tc>
        <w:tc>
          <w:tcPr>
            <w:tcW w:w="1218" w:type="dxa"/>
            <w:tcBorders>
              <w:top w:val="nil"/>
              <w:left w:val="nil"/>
              <w:bottom w:val="nil"/>
              <w:right w:val="nil"/>
            </w:tcBorders>
            <w:shd w:val="clear" w:color="auto" w:fill="auto"/>
            <w:noWrap/>
            <w:vAlign w:val="center"/>
            <w:hideMark/>
          </w:tcPr>
          <w:p w14:paraId="7FB66015" w14:textId="43DBB893" w:rsidR="004469EC" w:rsidRPr="00420C9A" w:rsidRDefault="004469EC" w:rsidP="004469EC">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2.60</w:t>
            </w:r>
          </w:p>
        </w:tc>
        <w:tc>
          <w:tcPr>
            <w:tcW w:w="1599" w:type="dxa"/>
            <w:tcBorders>
              <w:top w:val="nil"/>
              <w:left w:val="nil"/>
              <w:bottom w:val="nil"/>
              <w:right w:val="nil"/>
            </w:tcBorders>
            <w:shd w:val="clear" w:color="auto" w:fill="auto"/>
            <w:noWrap/>
            <w:vAlign w:val="center"/>
            <w:hideMark/>
          </w:tcPr>
          <w:p w14:paraId="129102D6" w14:textId="5F44AA7B" w:rsidR="004469EC" w:rsidRPr="00420C9A" w:rsidRDefault="004469EC" w:rsidP="004469EC">
            <w:pPr>
              <w:spacing w:after="0" w:line="240" w:lineRule="auto"/>
              <w:jc w:val="right"/>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0.375</w:t>
            </w:r>
          </w:p>
        </w:tc>
      </w:tr>
      <w:tr w:rsidR="000F7C00" w:rsidRPr="00540907" w14:paraId="5FF5C26E" w14:textId="77777777" w:rsidTr="00211FA3">
        <w:trPr>
          <w:trHeight w:val="290"/>
        </w:trPr>
        <w:tc>
          <w:tcPr>
            <w:tcW w:w="4054" w:type="dxa"/>
            <w:tcBorders>
              <w:top w:val="nil"/>
              <w:left w:val="nil"/>
              <w:bottom w:val="single" w:sz="4" w:space="0" w:color="auto"/>
              <w:right w:val="nil"/>
            </w:tcBorders>
            <w:shd w:val="clear" w:color="auto" w:fill="auto"/>
            <w:noWrap/>
            <w:vAlign w:val="bottom"/>
            <w:hideMark/>
          </w:tcPr>
          <w:p w14:paraId="42EDB65B" w14:textId="77777777" w:rsidR="000F7C00" w:rsidRPr="00540907" w:rsidRDefault="000F7C00" w:rsidP="00211FA3">
            <w:pPr>
              <w:spacing w:after="0" w:line="240" w:lineRule="auto"/>
              <w:jc w:val="right"/>
              <w:rPr>
                <w:rFonts w:ascii="Times New Roman" w:eastAsia="Times New Roman" w:hAnsi="Times New Roman" w:cs="Times New Roman"/>
                <w:color w:val="000000"/>
              </w:rPr>
            </w:pPr>
            <w:r w:rsidRPr="00540907">
              <w:rPr>
                <w:rFonts w:ascii="Times New Roman" w:eastAsia="Times New Roman" w:hAnsi="Times New Roman" w:cs="Times New Roman"/>
                <w:color w:val="000000"/>
              </w:rPr>
              <w:t> </w:t>
            </w:r>
          </w:p>
        </w:tc>
        <w:tc>
          <w:tcPr>
            <w:tcW w:w="998" w:type="dxa"/>
            <w:tcBorders>
              <w:top w:val="nil"/>
              <w:left w:val="nil"/>
              <w:bottom w:val="single" w:sz="4" w:space="0" w:color="auto"/>
              <w:right w:val="nil"/>
            </w:tcBorders>
            <w:shd w:val="clear" w:color="auto" w:fill="auto"/>
            <w:noWrap/>
            <w:vAlign w:val="bottom"/>
            <w:hideMark/>
          </w:tcPr>
          <w:p w14:paraId="3479A28B" w14:textId="77777777" w:rsidR="000F7C00" w:rsidRPr="00540907" w:rsidRDefault="000F7C00" w:rsidP="00211FA3">
            <w:pPr>
              <w:spacing w:after="0" w:line="240" w:lineRule="auto"/>
              <w:jc w:val="right"/>
              <w:rPr>
                <w:rFonts w:ascii="Times New Roman" w:eastAsia="Times New Roman" w:hAnsi="Times New Roman" w:cs="Times New Roman"/>
                <w:color w:val="000000"/>
              </w:rPr>
            </w:pPr>
            <w:r w:rsidRPr="00540907">
              <w:rPr>
                <w:rFonts w:ascii="Times New Roman" w:eastAsia="Times New Roman" w:hAnsi="Times New Roman" w:cs="Times New Roman"/>
                <w:color w:val="000000"/>
              </w:rPr>
              <w:t> </w:t>
            </w:r>
          </w:p>
        </w:tc>
        <w:tc>
          <w:tcPr>
            <w:tcW w:w="998" w:type="dxa"/>
            <w:gridSpan w:val="2"/>
            <w:tcBorders>
              <w:top w:val="nil"/>
              <w:left w:val="nil"/>
              <w:bottom w:val="single" w:sz="4" w:space="0" w:color="auto"/>
              <w:right w:val="nil"/>
            </w:tcBorders>
            <w:shd w:val="clear" w:color="auto" w:fill="auto"/>
            <w:noWrap/>
            <w:vAlign w:val="bottom"/>
            <w:hideMark/>
          </w:tcPr>
          <w:p w14:paraId="395D6E09" w14:textId="77777777" w:rsidR="000F7C00" w:rsidRPr="00540907" w:rsidRDefault="000F7C00" w:rsidP="00211FA3">
            <w:pPr>
              <w:spacing w:after="0" w:line="240" w:lineRule="auto"/>
              <w:jc w:val="right"/>
              <w:rPr>
                <w:rFonts w:ascii="Times New Roman" w:eastAsia="Times New Roman" w:hAnsi="Times New Roman" w:cs="Times New Roman"/>
                <w:color w:val="000000"/>
              </w:rPr>
            </w:pPr>
            <w:r w:rsidRPr="00540907">
              <w:rPr>
                <w:rFonts w:ascii="Times New Roman" w:eastAsia="Times New Roman" w:hAnsi="Times New Roman" w:cs="Times New Roman"/>
                <w:color w:val="000000"/>
              </w:rPr>
              <w:t> </w:t>
            </w:r>
          </w:p>
        </w:tc>
        <w:tc>
          <w:tcPr>
            <w:tcW w:w="1300" w:type="dxa"/>
            <w:gridSpan w:val="2"/>
            <w:tcBorders>
              <w:top w:val="nil"/>
              <w:left w:val="nil"/>
              <w:bottom w:val="single" w:sz="4" w:space="0" w:color="auto"/>
              <w:right w:val="nil"/>
            </w:tcBorders>
            <w:shd w:val="clear" w:color="auto" w:fill="auto"/>
            <w:noWrap/>
            <w:vAlign w:val="bottom"/>
            <w:hideMark/>
          </w:tcPr>
          <w:p w14:paraId="50532A4F" w14:textId="77777777" w:rsidR="000F7C00" w:rsidRPr="00540907" w:rsidRDefault="000F7C00" w:rsidP="00211FA3">
            <w:pPr>
              <w:spacing w:after="0" w:line="240" w:lineRule="auto"/>
              <w:rPr>
                <w:rFonts w:ascii="Times New Roman" w:eastAsia="Times New Roman" w:hAnsi="Times New Roman" w:cs="Times New Roman"/>
                <w:color w:val="000000"/>
              </w:rPr>
            </w:pPr>
            <w:r w:rsidRPr="00540907">
              <w:rPr>
                <w:rFonts w:ascii="Times New Roman" w:eastAsia="Times New Roman" w:hAnsi="Times New Roman" w:cs="Times New Roman"/>
                <w:color w:val="000000"/>
              </w:rPr>
              <w:t> </w:t>
            </w:r>
          </w:p>
        </w:tc>
        <w:tc>
          <w:tcPr>
            <w:tcW w:w="1411" w:type="dxa"/>
            <w:gridSpan w:val="2"/>
            <w:tcBorders>
              <w:top w:val="nil"/>
              <w:left w:val="nil"/>
              <w:bottom w:val="single" w:sz="4" w:space="0" w:color="auto"/>
              <w:right w:val="nil"/>
            </w:tcBorders>
            <w:shd w:val="clear" w:color="auto" w:fill="auto"/>
            <w:noWrap/>
            <w:vAlign w:val="bottom"/>
            <w:hideMark/>
          </w:tcPr>
          <w:p w14:paraId="218AE6C7" w14:textId="77777777" w:rsidR="000F7C00" w:rsidRPr="00540907" w:rsidRDefault="000F7C00" w:rsidP="00211FA3">
            <w:pPr>
              <w:spacing w:after="0" w:line="240" w:lineRule="auto"/>
              <w:rPr>
                <w:rFonts w:ascii="Times New Roman" w:eastAsia="Times New Roman" w:hAnsi="Times New Roman" w:cs="Times New Roman"/>
                <w:color w:val="000000"/>
              </w:rPr>
            </w:pPr>
            <w:r w:rsidRPr="00540907">
              <w:rPr>
                <w:rFonts w:ascii="Times New Roman" w:eastAsia="Times New Roman" w:hAnsi="Times New Roman" w:cs="Times New Roman"/>
                <w:color w:val="000000"/>
              </w:rPr>
              <w:t> </w:t>
            </w:r>
          </w:p>
        </w:tc>
        <w:tc>
          <w:tcPr>
            <w:tcW w:w="1300" w:type="dxa"/>
            <w:gridSpan w:val="2"/>
            <w:tcBorders>
              <w:top w:val="nil"/>
              <w:left w:val="nil"/>
              <w:bottom w:val="single" w:sz="4" w:space="0" w:color="auto"/>
              <w:right w:val="nil"/>
            </w:tcBorders>
            <w:shd w:val="clear" w:color="auto" w:fill="auto"/>
            <w:noWrap/>
            <w:vAlign w:val="bottom"/>
            <w:hideMark/>
          </w:tcPr>
          <w:p w14:paraId="68C41E1B" w14:textId="77777777" w:rsidR="000F7C00" w:rsidRPr="00540907" w:rsidRDefault="000F7C00" w:rsidP="00211FA3">
            <w:pPr>
              <w:spacing w:after="0" w:line="240" w:lineRule="auto"/>
              <w:rPr>
                <w:rFonts w:ascii="Times New Roman" w:eastAsia="Times New Roman" w:hAnsi="Times New Roman" w:cs="Times New Roman"/>
                <w:color w:val="000000"/>
              </w:rPr>
            </w:pPr>
            <w:r w:rsidRPr="00540907">
              <w:rPr>
                <w:rFonts w:ascii="Times New Roman" w:eastAsia="Times New Roman" w:hAnsi="Times New Roman" w:cs="Times New Roman"/>
                <w:color w:val="000000"/>
              </w:rPr>
              <w:t> </w:t>
            </w:r>
          </w:p>
        </w:tc>
        <w:tc>
          <w:tcPr>
            <w:tcW w:w="1300" w:type="dxa"/>
            <w:gridSpan w:val="2"/>
            <w:tcBorders>
              <w:top w:val="nil"/>
              <w:left w:val="nil"/>
              <w:bottom w:val="single" w:sz="4" w:space="0" w:color="auto"/>
              <w:right w:val="nil"/>
            </w:tcBorders>
            <w:shd w:val="clear" w:color="auto" w:fill="auto"/>
            <w:noWrap/>
            <w:vAlign w:val="bottom"/>
            <w:hideMark/>
          </w:tcPr>
          <w:p w14:paraId="46C3EC64" w14:textId="77777777" w:rsidR="000F7C00" w:rsidRPr="00540907" w:rsidRDefault="000F7C00" w:rsidP="00211FA3">
            <w:pPr>
              <w:spacing w:after="0" w:line="240" w:lineRule="auto"/>
              <w:rPr>
                <w:rFonts w:ascii="Times New Roman" w:eastAsia="Times New Roman" w:hAnsi="Times New Roman" w:cs="Times New Roman"/>
                <w:color w:val="000000"/>
              </w:rPr>
            </w:pPr>
            <w:r w:rsidRPr="00540907">
              <w:rPr>
                <w:rFonts w:ascii="Times New Roman" w:eastAsia="Times New Roman" w:hAnsi="Times New Roman" w:cs="Times New Roman"/>
                <w:color w:val="000000"/>
              </w:rPr>
              <w:t> </w:t>
            </w:r>
          </w:p>
        </w:tc>
        <w:tc>
          <w:tcPr>
            <w:tcW w:w="1599" w:type="dxa"/>
            <w:tcBorders>
              <w:top w:val="nil"/>
              <w:left w:val="nil"/>
              <w:bottom w:val="single" w:sz="4" w:space="0" w:color="auto"/>
              <w:right w:val="nil"/>
            </w:tcBorders>
            <w:shd w:val="clear" w:color="auto" w:fill="auto"/>
            <w:noWrap/>
            <w:vAlign w:val="bottom"/>
            <w:hideMark/>
          </w:tcPr>
          <w:p w14:paraId="65509876" w14:textId="77777777" w:rsidR="000F7C00" w:rsidRPr="00540907" w:rsidRDefault="000F7C00" w:rsidP="00211FA3">
            <w:pPr>
              <w:spacing w:after="0" w:line="240" w:lineRule="auto"/>
              <w:rPr>
                <w:rFonts w:ascii="Calibri" w:eastAsia="Times New Roman" w:hAnsi="Calibri" w:cs="Calibri"/>
                <w:color w:val="000000"/>
              </w:rPr>
            </w:pPr>
            <w:r w:rsidRPr="00540907">
              <w:rPr>
                <w:rFonts w:ascii="Calibri" w:eastAsia="Times New Roman" w:hAnsi="Calibri" w:cs="Calibri"/>
                <w:color w:val="000000"/>
              </w:rPr>
              <w:t> </w:t>
            </w:r>
          </w:p>
        </w:tc>
      </w:tr>
      <w:tr w:rsidR="000F7C00" w:rsidRPr="00540907" w14:paraId="5A12CEF4" w14:textId="77777777" w:rsidTr="00211FA3">
        <w:trPr>
          <w:trHeight w:val="650"/>
        </w:trPr>
        <w:tc>
          <w:tcPr>
            <w:tcW w:w="12960" w:type="dxa"/>
            <w:gridSpan w:val="13"/>
            <w:tcBorders>
              <w:top w:val="nil"/>
              <w:left w:val="nil"/>
              <w:bottom w:val="nil"/>
              <w:right w:val="nil"/>
            </w:tcBorders>
            <w:shd w:val="clear" w:color="auto" w:fill="auto"/>
            <w:hideMark/>
          </w:tcPr>
          <w:p w14:paraId="7230CE73" w14:textId="77777777" w:rsidR="000F7C00" w:rsidRDefault="000F7C00" w:rsidP="00211FA3">
            <w:pPr>
              <w:shd w:val="clear" w:color="auto" w:fill="FFFFFF"/>
              <w:spacing w:before="120" w:after="0" w:line="240" w:lineRule="auto"/>
              <w:rPr>
                <w:rFonts w:ascii="Times New Roman" w:eastAsia="Times New Roman" w:hAnsi="Times New Roman" w:cs="Times New Roman"/>
                <w:color w:val="000000"/>
                <w:sz w:val="20"/>
                <w:szCs w:val="20"/>
              </w:rPr>
            </w:pPr>
            <w:r w:rsidRPr="00876B37">
              <w:rPr>
                <w:rFonts w:ascii="Times New Roman" w:eastAsia="Times New Roman" w:hAnsi="Times New Roman" w:cs="Times New Roman"/>
                <w:i/>
                <w:color w:val="000000"/>
                <w:sz w:val="20"/>
                <w:szCs w:val="20"/>
              </w:rPr>
              <w:t>Note:</w:t>
            </w:r>
            <w:r>
              <w:rPr>
                <w:rFonts w:ascii="Times New Roman" w:eastAsia="Times New Roman" w:hAnsi="Times New Roman" w:cs="Times New Roman"/>
                <w:color w:val="000000"/>
                <w:sz w:val="20"/>
                <w:szCs w:val="20"/>
              </w:rPr>
              <w:t xml:space="preserve"> </w:t>
            </w:r>
            <w:r w:rsidRPr="00540907">
              <w:rPr>
                <w:rFonts w:ascii="Times New Roman" w:eastAsia="Times New Roman" w:hAnsi="Times New Roman" w:cs="Times New Roman"/>
                <w:color w:val="000000"/>
                <w:sz w:val="20"/>
                <w:szCs w:val="20"/>
              </w:rPr>
              <w:t xml:space="preserve">These results include </w:t>
            </w:r>
            <w:r>
              <w:rPr>
                <w:rFonts w:ascii="Times New Roman" w:eastAsia="Times New Roman" w:hAnsi="Times New Roman" w:cs="Times New Roman"/>
                <w:color w:val="000000"/>
                <w:sz w:val="20"/>
                <w:szCs w:val="20"/>
              </w:rPr>
              <w:t xml:space="preserve">adjustments for </w:t>
            </w:r>
            <w:r w:rsidRPr="00540907">
              <w:rPr>
                <w:rFonts w:ascii="Times New Roman" w:eastAsia="Times New Roman" w:hAnsi="Times New Roman" w:cs="Times New Roman"/>
                <w:color w:val="000000"/>
                <w:sz w:val="20"/>
                <w:szCs w:val="20"/>
              </w:rPr>
              <w:t xml:space="preserve">relative wage effects </w:t>
            </w:r>
            <w:r>
              <w:rPr>
                <w:rFonts w:ascii="Times New Roman" w:eastAsia="Times New Roman" w:hAnsi="Times New Roman" w:cs="Times New Roman"/>
                <w:color w:val="000000"/>
                <w:sz w:val="20"/>
                <w:szCs w:val="20"/>
              </w:rPr>
              <w:t xml:space="preserve">estimated </w:t>
            </w:r>
            <w:r w:rsidRPr="00540907">
              <w:rPr>
                <w:rFonts w:ascii="Times New Roman" w:eastAsia="Times New Roman" w:hAnsi="Times New Roman" w:cs="Times New Roman"/>
                <w:color w:val="000000"/>
                <w:sz w:val="20"/>
                <w:szCs w:val="20"/>
              </w:rPr>
              <w:t>with data from 1963</w:t>
            </w:r>
            <w:r>
              <w:rPr>
                <w:rFonts w:ascii="Times New Roman" w:eastAsia="Times New Roman" w:hAnsi="Times New Roman" w:cs="Times New Roman"/>
                <w:color w:val="000000"/>
                <w:sz w:val="20"/>
                <w:szCs w:val="20"/>
              </w:rPr>
              <w:sym w:font="Symbol" w:char="F02D"/>
            </w:r>
            <w:r w:rsidRPr="00540907">
              <w:rPr>
                <w:rFonts w:ascii="Times New Roman" w:eastAsia="Times New Roman" w:hAnsi="Times New Roman" w:cs="Times New Roman"/>
                <w:color w:val="000000"/>
                <w:sz w:val="20"/>
                <w:szCs w:val="20"/>
              </w:rPr>
              <w:t>2018, consist</w:t>
            </w:r>
            <w:r>
              <w:rPr>
                <w:rFonts w:ascii="Times New Roman" w:eastAsia="Times New Roman" w:hAnsi="Times New Roman" w:cs="Times New Roman"/>
                <w:color w:val="000000"/>
                <w:sz w:val="20"/>
                <w:szCs w:val="20"/>
              </w:rPr>
              <w:t>ent with earlier literature. (The</w:t>
            </w:r>
            <w:r w:rsidRPr="00540907">
              <w:rPr>
                <w:rFonts w:ascii="Times New Roman" w:eastAsia="Times New Roman" w:hAnsi="Times New Roman" w:cs="Times New Roman"/>
                <w:color w:val="000000"/>
                <w:sz w:val="20"/>
                <w:szCs w:val="20"/>
              </w:rPr>
              <w:t>se es</w:t>
            </w:r>
            <w:r>
              <w:rPr>
                <w:rFonts w:ascii="Times New Roman" w:eastAsia="Times New Roman" w:hAnsi="Times New Roman" w:cs="Times New Roman"/>
                <w:color w:val="000000"/>
                <w:sz w:val="20"/>
                <w:szCs w:val="20"/>
              </w:rPr>
              <w:t>t</w:t>
            </w:r>
            <w:r w:rsidRPr="00540907">
              <w:rPr>
                <w:rFonts w:ascii="Times New Roman" w:eastAsia="Times New Roman" w:hAnsi="Times New Roman" w:cs="Times New Roman"/>
                <w:color w:val="000000"/>
                <w:sz w:val="20"/>
                <w:szCs w:val="20"/>
              </w:rPr>
              <w:t>imates are displayed in column 2</w:t>
            </w:r>
            <w:r>
              <w:rPr>
                <w:rFonts w:ascii="Times New Roman" w:eastAsia="Times New Roman" w:hAnsi="Times New Roman" w:cs="Times New Roman"/>
                <w:color w:val="000000"/>
                <w:sz w:val="20"/>
                <w:szCs w:val="20"/>
              </w:rPr>
              <w:t xml:space="preserve"> of Appendix Tables C.1 and C.2; </w:t>
            </w:r>
            <w:r w:rsidRPr="00962464">
              <w:rPr>
                <w:rFonts w:ascii="Times New Roman" w:eastAsia="Times New Roman" w:hAnsi="Times New Roman" w:cs="Times New Roman"/>
                <w:color w:val="000000"/>
                <w:sz w:val="20"/>
                <w:szCs w:val="20"/>
              </w:rPr>
              <w:t>they indicate</w:t>
            </w:r>
            <w:r w:rsidRPr="001C20D5">
              <w:rPr>
                <w:rFonts w:ascii="Times New Roman" w:eastAsia="Times New Roman" w:hAnsi="Times New Roman" w:cs="Times New Roman"/>
                <w:color w:val="000000"/>
                <w:sz w:val="20"/>
                <w:szCs w:val="20"/>
              </w:rPr>
              <w:t xml:space="preserve"> a larger </w:t>
            </w:r>
            <w:r w:rsidRPr="00962464">
              <w:rPr>
                <w:rFonts w:ascii="Times New Roman" w:eastAsia="Times New Roman" w:hAnsi="Times New Roman" w:cs="Times New Roman"/>
                <w:color w:val="000000"/>
                <w:sz w:val="20"/>
                <w:szCs w:val="20"/>
              </w:rPr>
              <w:t xml:space="preserve">depressive </w:t>
            </w:r>
            <w:r w:rsidRPr="001C20D5">
              <w:rPr>
                <w:rFonts w:ascii="Times New Roman" w:eastAsia="Times New Roman" w:hAnsi="Times New Roman" w:cs="Times New Roman"/>
                <w:color w:val="000000"/>
                <w:sz w:val="20"/>
                <w:szCs w:val="20"/>
              </w:rPr>
              <w:t xml:space="preserve">effect of BA supply on relative wages but a smaller </w:t>
            </w:r>
            <w:r w:rsidRPr="00962464">
              <w:rPr>
                <w:rFonts w:ascii="Times New Roman" w:eastAsia="Times New Roman" w:hAnsi="Times New Roman" w:cs="Times New Roman"/>
                <w:color w:val="000000"/>
                <w:sz w:val="20"/>
                <w:szCs w:val="20"/>
              </w:rPr>
              <w:t xml:space="preserve">depressive </w:t>
            </w:r>
            <w:r w:rsidRPr="001C20D5">
              <w:rPr>
                <w:rFonts w:ascii="Times New Roman" w:eastAsia="Times New Roman" w:hAnsi="Times New Roman" w:cs="Times New Roman"/>
                <w:color w:val="000000"/>
                <w:sz w:val="20"/>
                <w:szCs w:val="20"/>
              </w:rPr>
              <w:t>effect</w:t>
            </w:r>
            <w:r>
              <w:rPr>
                <w:rFonts w:ascii="Times New Roman" w:eastAsia="Times New Roman" w:hAnsi="Times New Roman" w:cs="Times New Roman"/>
                <w:color w:val="000000"/>
                <w:sz w:val="20"/>
                <w:szCs w:val="20"/>
              </w:rPr>
              <w:t xml:space="preserve"> of AA supply on relative wages, as compared to estimates using data from 1979</w:t>
            </w:r>
            <w:r>
              <w:rPr>
                <w:rFonts w:ascii="Times New Roman" w:eastAsia="Times New Roman" w:hAnsi="Times New Roman" w:cs="Times New Roman"/>
                <w:color w:val="000000"/>
                <w:sz w:val="20"/>
                <w:szCs w:val="20"/>
              </w:rPr>
              <w:sym w:font="Symbol" w:char="F02D"/>
            </w:r>
            <w:r>
              <w:rPr>
                <w:rFonts w:ascii="Times New Roman" w:eastAsia="Times New Roman" w:hAnsi="Times New Roman" w:cs="Times New Roman"/>
                <w:color w:val="000000"/>
                <w:sz w:val="20"/>
                <w:szCs w:val="20"/>
              </w:rPr>
              <w:t>2018.</w:t>
            </w:r>
          </w:p>
          <w:p w14:paraId="556CFF79" w14:textId="77777777" w:rsidR="000F7C00" w:rsidRPr="001C20D5" w:rsidRDefault="000F7C00" w:rsidP="00211FA3">
            <w:pPr>
              <w:shd w:val="clear" w:color="auto" w:fill="FFFFFF"/>
              <w:spacing w:before="120" w:after="0" w:line="240" w:lineRule="auto"/>
              <w:rPr>
                <w:rFonts w:ascii="Times New Roman" w:eastAsia="Times New Roman" w:hAnsi="Times New Roman" w:cs="Times New Roman"/>
                <w:color w:val="000000"/>
                <w:sz w:val="20"/>
                <w:szCs w:val="20"/>
              </w:rPr>
            </w:pPr>
            <w:r w:rsidRPr="00084E97">
              <w:rPr>
                <w:rFonts w:ascii="Times New Roman" w:eastAsia="Times New Roman" w:hAnsi="Times New Roman" w:cs="Times New Roman"/>
                <w:i/>
                <w:color w:val="000000"/>
                <w:sz w:val="20"/>
                <w:szCs w:val="20"/>
              </w:rPr>
              <w:t>Source</w:t>
            </w:r>
            <w:r w:rsidRPr="00293520">
              <w:rPr>
                <w:rFonts w:ascii="Times New Roman" w:eastAsia="Times New Roman" w:hAnsi="Times New Roman" w:cs="Times New Roman"/>
                <w:color w:val="000000"/>
                <w:sz w:val="20"/>
                <w:szCs w:val="20"/>
              </w:rPr>
              <w:t>: Authors’ calculations of March Current Population Survey 1980 and 2019 (Flood et al., 2019).</w:t>
            </w:r>
          </w:p>
          <w:p w14:paraId="51919BCC" w14:textId="77777777" w:rsidR="000F7C00" w:rsidRPr="00540907" w:rsidRDefault="000F7C00" w:rsidP="00211FA3">
            <w:pPr>
              <w:spacing w:after="0" w:line="240" w:lineRule="auto"/>
              <w:rPr>
                <w:rFonts w:ascii="Times New Roman" w:eastAsia="Times New Roman" w:hAnsi="Times New Roman" w:cs="Times New Roman"/>
                <w:color w:val="000000"/>
                <w:sz w:val="20"/>
                <w:szCs w:val="20"/>
              </w:rPr>
            </w:pPr>
          </w:p>
        </w:tc>
      </w:tr>
    </w:tbl>
    <w:p w14:paraId="1E9A4B6C" w14:textId="77777777" w:rsidR="000F7C00" w:rsidRDefault="000F7C00" w:rsidP="000F7C00">
      <w:pPr>
        <w:rPr>
          <w:rFonts w:ascii="Times New Roman" w:hAnsi="Times New Roman" w:cs="Times New Roman"/>
        </w:rPr>
      </w:pPr>
    </w:p>
    <w:p w14:paraId="204C2D7A" w14:textId="77777777" w:rsidR="000F7C00" w:rsidRDefault="000F7C00" w:rsidP="000F7C00">
      <w:pPr>
        <w:rPr>
          <w:rFonts w:ascii="Times New Roman" w:hAnsi="Times New Roman" w:cs="Times New Roman"/>
        </w:rPr>
      </w:pPr>
    </w:p>
    <w:p w14:paraId="2579607D" w14:textId="77777777" w:rsidR="000F7C00" w:rsidRDefault="000F7C00" w:rsidP="000F7C00">
      <w:pPr>
        <w:rPr>
          <w:rFonts w:ascii="Times New Roman" w:hAnsi="Times New Roman" w:cs="Times New Roman"/>
        </w:rPr>
      </w:pPr>
    </w:p>
    <w:p w14:paraId="3C77539B" w14:textId="77777777" w:rsidR="000F7C00" w:rsidRDefault="000F7C00" w:rsidP="000F7C00">
      <w:pPr>
        <w:rPr>
          <w:rFonts w:ascii="Times New Roman" w:hAnsi="Times New Roman" w:cs="Times New Roman"/>
        </w:rPr>
      </w:pPr>
    </w:p>
    <w:p w14:paraId="48CF43FD" w14:textId="77777777" w:rsidR="000F7C00" w:rsidRDefault="000F7C00" w:rsidP="000F7C00">
      <w:pPr>
        <w:rPr>
          <w:rFonts w:ascii="Times New Roman" w:hAnsi="Times New Roman" w:cs="Times New Roman"/>
        </w:rPr>
      </w:pPr>
    </w:p>
    <w:tbl>
      <w:tblPr>
        <w:tblW w:w="12960" w:type="dxa"/>
        <w:jc w:val="center"/>
        <w:tblLook w:val="04A0" w:firstRow="1" w:lastRow="0" w:firstColumn="1" w:lastColumn="0" w:noHBand="0" w:noVBand="1"/>
      </w:tblPr>
      <w:tblGrid>
        <w:gridCol w:w="4203"/>
        <w:gridCol w:w="2189"/>
        <w:gridCol w:w="2189"/>
        <w:gridCol w:w="2189"/>
        <w:gridCol w:w="2190"/>
      </w:tblGrid>
      <w:tr w:rsidR="000F7C00" w:rsidRPr="00C07E62" w14:paraId="3303DACF" w14:textId="77777777" w:rsidTr="00211FA3">
        <w:trPr>
          <w:trHeight w:val="280"/>
          <w:jc w:val="center"/>
        </w:trPr>
        <w:tc>
          <w:tcPr>
            <w:tcW w:w="12960" w:type="dxa"/>
            <w:gridSpan w:val="5"/>
            <w:tcBorders>
              <w:top w:val="nil"/>
              <w:left w:val="nil"/>
              <w:bottom w:val="single" w:sz="4" w:space="0" w:color="auto"/>
              <w:right w:val="nil"/>
            </w:tcBorders>
            <w:shd w:val="clear" w:color="auto" w:fill="auto"/>
            <w:noWrap/>
            <w:vAlign w:val="bottom"/>
            <w:hideMark/>
          </w:tcPr>
          <w:p w14:paraId="52702337" w14:textId="08C9BF67" w:rsidR="000F7C00" w:rsidRPr="00C07E62" w:rsidRDefault="000F7C00" w:rsidP="00211FA3">
            <w:pPr>
              <w:spacing w:after="0" w:line="240" w:lineRule="auto"/>
              <w:rPr>
                <w:rFonts w:ascii="Times New Roman" w:eastAsia="Times New Roman" w:hAnsi="Times New Roman" w:cs="Times New Roman"/>
                <w:b/>
                <w:bCs/>
                <w:color w:val="000000"/>
                <w:sz w:val="24"/>
                <w:szCs w:val="24"/>
              </w:rPr>
            </w:pPr>
            <w:r w:rsidRPr="00C07E62">
              <w:rPr>
                <w:rFonts w:ascii="Times New Roman" w:eastAsia="Times New Roman" w:hAnsi="Times New Roman" w:cs="Times New Roman"/>
                <w:b/>
                <w:bCs/>
                <w:color w:val="000000"/>
                <w:sz w:val="24"/>
                <w:szCs w:val="24"/>
              </w:rPr>
              <w:t>Table A.4: Poverty Rates Relative to Earned Income</w:t>
            </w:r>
            <w:r w:rsidR="00D279C9">
              <w:rPr>
                <w:rFonts w:ascii="Times New Roman" w:eastAsia="Times New Roman" w:hAnsi="Times New Roman" w:cs="Times New Roman"/>
                <w:b/>
                <w:bCs/>
                <w:color w:val="000000"/>
                <w:sz w:val="24"/>
                <w:szCs w:val="24"/>
              </w:rPr>
              <w:t xml:space="preserve"> for Prime-Age </w:t>
            </w:r>
            <w:r w:rsidRPr="00C07E62">
              <w:rPr>
                <w:rFonts w:ascii="Times New Roman" w:eastAsia="Times New Roman" w:hAnsi="Times New Roman" w:cs="Times New Roman"/>
                <w:b/>
                <w:bCs/>
                <w:color w:val="000000"/>
                <w:sz w:val="24"/>
                <w:szCs w:val="24"/>
              </w:rPr>
              <w:t>Individuals</w:t>
            </w:r>
            <w:r w:rsidR="00D279C9">
              <w:rPr>
                <w:rFonts w:ascii="Times New Roman" w:eastAsia="Times New Roman" w:hAnsi="Times New Roman" w:cs="Times New Roman"/>
                <w:b/>
                <w:bCs/>
                <w:color w:val="000000"/>
                <w:sz w:val="24"/>
                <w:szCs w:val="24"/>
              </w:rPr>
              <w:t xml:space="preserve"> (All Prime-Age Individuals Simulation)</w:t>
            </w:r>
          </w:p>
        </w:tc>
      </w:tr>
      <w:tr w:rsidR="000F7C00" w:rsidRPr="00C07E62" w14:paraId="774EF377" w14:textId="77777777" w:rsidTr="00211FA3">
        <w:trPr>
          <w:trHeight w:val="840"/>
          <w:jc w:val="center"/>
        </w:trPr>
        <w:tc>
          <w:tcPr>
            <w:tcW w:w="4203" w:type="dxa"/>
            <w:tcBorders>
              <w:top w:val="nil"/>
              <w:left w:val="nil"/>
              <w:bottom w:val="single" w:sz="4" w:space="0" w:color="auto"/>
              <w:right w:val="nil"/>
            </w:tcBorders>
            <w:shd w:val="clear" w:color="auto" w:fill="auto"/>
            <w:noWrap/>
            <w:vAlign w:val="bottom"/>
            <w:hideMark/>
          </w:tcPr>
          <w:p w14:paraId="35EE0B45" w14:textId="77777777" w:rsidR="000F7C00" w:rsidRPr="00C07E62" w:rsidRDefault="000F7C00" w:rsidP="00211FA3">
            <w:pPr>
              <w:spacing w:after="0" w:line="240" w:lineRule="auto"/>
              <w:rPr>
                <w:rFonts w:ascii="Times New Roman" w:eastAsia="Times New Roman" w:hAnsi="Times New Roman" w:cs="Times New Roman"/>
                <w:b/>
                <w:bCs/>
                <w:color w:val="000000"/>
                <w:sz w:val="24"/>
                <w:szCs w:val="24"/>
              </w:rPr>
            </w:pPr>
            <w:r w:rsidRPr="00C07E62">
              <w:rPr>
                <w:rFonts w:ascii="Times New Roman" w:eastAsia="Times New Roman" w:hAnsi="Times New Roman" w:cs="Times New Roman"/>
                <w:b/>
                <w:bCs/>
                <w:color w:val="000000"/>
                <w:sz w:val="24"/>
                <w:szCs w:val="24"/>
              </w:rPr>
              <w:t> </w:t>
            </w:r>
          </w:p>
        </w:tc>
        <w:tc>
          <w:tcPr>
            <w:tcW w:w="2189" w:type="dxa"/>
            <w:tcBorders>
              <w:top w:val="nil"/>
              <w:left w:val="nil"/>
              <w:bottom w:val="single" w:sz="4" w:space="0" w:color="auto"/>
              <w:right w:val="nil"/>
            </w:tcBorders>
            <w:shd w:val="clear" w:color="auto" w:fill="auto"/>
            <w:vAlign w:val="bottom"/>
            <w:hideMark/>
          </w:tcPr>
          <w:p w14:paraId="08332844" w14:textId="77777777" w:rsidR="000F7C00" w:rsidRPr="00C07E62" w:rsidRDefault="000F7C00" w:rsidP="00211FA3">
            <w:pPr>
              <w:spacing w:after="0" w:line="240" w:lineRule="auto"/>
              <w:jc w:val="center"/>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Deep Poverty (&lt;50% FPL)</w:t>
            </w:r>
          </w:p>
        </w:tc>
        <w:tc>
          <w:tcPr>
            <w:tcW w:w="2189" w:type="dxa"/>
            <w:tcBorders>
              <w:top w:val="nil"/>
              <w:left w:val="nil"/>
              <w:bottom w:val="single" w:sz="4" w:space="0" w:color="auto"/>
              <w:right w:val="nil"/>
            </w:tcBorders>
            <w:shd w:val="clear" w:color="auto" w:fill="auto"/>
            <w:vAlign w:val="bottom"/>
            <w:hideMark/>
          </w:tcPr>
          <w:p w14:paraId="2D9C7625" w14:textId="77777777" w:rsidR="000F7C00" w:rsidRPr="00C07E62" w:rsidRDefault="000F7C00" w:rsidP="00211FA3">
            <w:pPr>
              <w:spacing w:after="0" w:line="240" w:lineRule="auto"/>
              <w:jc w:val="center"/>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Poverty (FPL)</w:t>
            </w:r>
          </w:p>
        </w:tc>
        <w:tc>
          <w:tcPr>
            <w:tcW w:w="2189" w:type="dxa"/>
            <w:tcBorders>
              <w:top w:val="nil"/>
              <w:left w:val="nil"/>
              <w:bottom w:val="single" w:sz="4" w:space="0" w:color="auto"/>
              <w:right w:val="nil"/>
            </w:tcBorders>
            <w:shd w:val="clear" w:color="auto" w:fill="auto"/>
            <w:vAlign w:val="bottom"/>
            <w:hideMark/>
          </w:tcPr>
          <w:p w14:paraId="666D412E" w14:textId="77777777" w:rsidR="000F7C00" w:rsidRPr="00C07E62" w:rsidRDefault="000F7C00" w:rsidP="00211FA3">
            <w:pPr>
              <w:spacing w:after="0" w:line="240" w:lineRule="auto"/>
              <w:jc w:val="center"/>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Near Poverty (&lt;150% FPL)</w:t>
            </w:r>
          </w:p>
        </w:tc>
        <w:tc>
          <w:tcPr>
            <w:tcW w:w="2190" w:type="dxa"/>
            <w:tcBorders>
              <w:top w:val="nil"/>
              <w:left w:val="nil"/>
              <w:bottom w:val="single" w:sz="4" w:space="0" w:color="auto"/>
              <w:right w:val="nil"/>
            </w:tcBorders>
            <w:shd w:val="clear" w:color="auto" w:fill="auto"/>
            <w:vAlign w:val="bottom"/>
            <w:hideMark/>
          </w:tcPr>
          <w:p w14:paraId="086A7674" w14:textId="77777777" w:rsidR="000F7C00" w:rsidRPr="00C07E62" w:rsidRDefault="000F7C00" w:rsidP="00211FA3">
            <w:pPr>
              <w:spacing w:after="0" w:line="240" w:lineRule="auto"/>
              <w:jc w:val="center"/>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Low Income (&lt;200% FPL)</w:t>
            </w:r>
          </w:p>
        </w:tc>
      </w:tr>
      <w:tr w:rsidR="000F7C00" w:rsidRPr="00C07E62" w14:paraId="7B65B25D" w14:textId="77777777" w:rsidTr="00211FA3">
        <w:trPr>
          <w:trHeight w:val="160"/>
          <w:jc w:val="center"/>
        </w:trPr>
        <w:tc>
          <w:tcPr>
            <w:tcW w:w="4203" w:type="dxa"/>
            <w:tcBorders>
              <w:top w:val="nil"/>
              <w:left w:val="nil"/>
              <w:bottom w:val="nil"/>
              <w:right w:val="nil"/>
            </w:tcBorders>
            <w:shd w:val="clear" w:color="auto" w:fill="auto"/>
            <w:noWrap/>
            <w:vAlign w:val="bottom"/>
            <w:hideMark/>
          </w:tcPr>
          <w:p w14:paraId="2ADF0655" w14:textId="77777777" w:rsidR="000F7C00" w:rsidRPr="00C07E62" w:rsidRDefault="000F7C00" w:rsidP="00211FA3">
            <w:pPr>
              <w:spacing w:after="0" w:line="240" w:lineRule="auto"/>
              <w:rPr>
                <w:rFonts w:ascii="Times New Roman" w:eastAsia="Times New Roman" w:hAnsi="Times New Roman" w:cs="Times New Roman"/>
                <w:color w:val="000000"/>
                <w:sz w:val="24"/>
                <w:szCs w:val="24"/>
              </w:rPr>
            </w:pPr>
          </w:p>
        </w:tc>
        <w:tc>
          <w:tcPr>
            <w:tcW w:w="2189" w:type="dxa"/>
            <w:tcBorders>
              <w:top w:val="nil"/>
              <w:left w:val="nil"/>
              <w:bottom w:val="nil"/>
              <w:right w:val="nil"/>
            </w:tcBorders>
            <w:shd w:val="clear" w:color="auto" w:fill="auto"/>
            <w:vAlign w:val="bottom"/>
            <w:hideMark/>
          </w:tcPr>
          <w:p w14:paraId="4902A626" w14:textId="77777777" w:rsidR="000F7C00" w:rsidRPr="00C07E62" w:rsidRDefault="000F7C00" w:rsidP="00211FA3">
            <w:pPr>
              <w:spacing w:after="0" w:line="240" w:lineRule="auto"/>
              <w:jc w:val="center"/>
              <w:rPr>
                <w:rFonts w:ascii="Times New Roman" w:eastAsia="Times New Roman" w:hAnsi="Times New Roman" w:cs="Times New Roman"/>
                <w:sz w:val="24"/>
                <w:szCs w:val="24"/>
              </w:rPr>
            </w:pPr>
          </w:p>
        </w:tc>
        <w:tc>
          <w:tcPr>
            <w:tcW w:w="2189" w:type="dxa"/>
            <w:tcBorders>
              <w:top w:val="nil"/>
              <w:left w:val="nil"/>
              <w:bottom w:val="nil"/>
              <w:right w:val="nil"/>
            </w:tcBorders>
            <w:shd w:val="clear" w:color="auto" w:fill="auto"/>
            <w:vAlign w:val="bottom"/>
            <w:hideMark/>
          </w:tcPr>
          <w:p w14:paraId="05ACCD49" w14:textId="77777777" w:rsidR="000F7C00" w:rsidRPr="00C07E62" w:rsidRDefault="000F7C00" w:rsidP="00211FA3">
            <w:pPr>
              <w:spacing w:after="0" w:line="240" w:lineRule="auto"/>
              <w:jc w:val="center"/>
              <w:rPr>
                <w:rFonts w:ascii="Times New Roman" w:eastAsia="Times New Roman" w:hAnsi="Times New Roman" w:cs="Times New Roman"/>
                <w:sz w:val="24"/>
                <w:szCs w:val="24"/>
              </w:rPr>
            </w:pPr>
          </w:p>
        </w:tc>
        <w:tc>
          <w:tcPr>
            <w:tcW w:w="2189" w:type="dxa"/>
            <w:tcBorders>
              <w:top w:val="nil"/>
              <w:left w:val="nil"/>
              <w:bottom w:val="nil"/>
              <w:right w:val="nil"/>
            </w:tcBorders>
            <w:shd w:val="clear" w:color="auto" w:fill="auto"/>
            <w:vAlign w:val="bottom"/>
            <w:hideMark/>
          </w:tcPr>
          <w:p w14:paraId="514C15F4" w14:textId="77777777" w:rsidR="000F7C00" w:rsidRPr="00C07E62" w:rsidRDefault="000F7C00" w:rsidP="00211FA3">
            <w:pPr>
              <w:spacing w:after="0" w:line="240" w:lineRule="auto"/>
              <w:jc w:val="center"/>
              <w:rPr>
                <w:rFonts w:ascii="Times New Roman" w:eastAsia="Times New Roman" w:hAnsi="Times New Roman" w:cs="Times New Roman"/>
                <w:sz w:val="24"/>
                <w:szCs w:val="24"/>
              </w:rPr>
            </w:pPr>
          </w:p>
        </w:tc>
        <w:tc>
          <w:tcPr>
            <w:tcW w:w="2190" w:type="dxa"/>
            <w:tcBorders>
              <w:top w:val="nil"/>
              <w:left w:val="nil"/>
              <w:bottom w:val="nil"/>
              <w:right w:val="nil"/>
            </w:tcBorders>
            <w:shd w:val="clear" w:color="auto" w:fill="auto"/>
            <w:vAlign w:val="bottom"/>
            <w:hideMark/>
          </w:tcPr>
          <w:p w14:paraId="6EF30076" w14:textId="77777777" w:rsidR="000F7C00" w:rsidRPr="00C07E62" w:rsidRDefault="000F7C00" w:rsidP="00211FA3">
            <w:pPr>
              <w:spacing w:after="0" w:line="240" w:lineRule="auto"/>
              <w:jc w:val="center"/>
              <w:rPr>
                <w:rFonts w:ascii="Times New Roman" w:eastAsia="Times New Roman" w:hAnsi="Times New Roman" w:cs="Times New Roman"/>
                <w:sz w:val="24"/>
                <w:szCs w:val="24"/>
              </w:rPr>
            </w:pPr>
          </w:p>
        </w:tc>
      </w:tr>
      <w:tr w:rsidR="000F7C00" w:rsidRPr="00C07E62" w14:paraId="19F1E214" w14:textId="77777777" w:rsidTr="00211FA3">
        <w:trPr>
          <w:trHeight w:val="280"/>
          <w:jc w:val="center"/>
        </w:trPr>
        <w:tc>
          <w:tcPr>
            <w:tcW w:w="4203" w:type="dxa"/>
            <w:tcBorders>
              <w:top w:val="nil"/>
              <w:left w:val="nil"/>
              <w:bottom w:val="nil"/>
              <w:right w:val="nil"/>
            </w:tcBorders>
            <w:shd w:val="clear" w:color="auto" w:fill="auto"/>
            <w:noWrap/>
            <w:vAlign w:val="bottom"/>
            <w:hideMark/>
          </w:tcPr>
          <w:p w14:paraId="07789199" w14:textId="77777777" w:rsidR="000F7C00" w:rsidRPr="00C07E62" w:rsidRDefault="000F7C00" w:rsidP="00211FA3">
            <w:pPr>
              <w:spacing w:after="0" w:line="240" w:lineRule="auto"/>
              <w:rPr>
                <w:rFonts w:ascii="Times New Roman" w:eastAsia="Times New Roman" w:hAnsi="Times New Roman" w:cs="Times New Roman"/>
                <w:color w:val="000000"/>
                <w:sz w:val="24"/>
                <w:szCs w:val="24"/>
              </w:rPr>
            </w:pPr>
            <w:r w:rsidRPr="00C07E62">
              <w:rPr>
                <w:rFonts w:ascii="Times New Roman" w:eastAsia="Times New Roman" w:hAnsi="Times New Roman" w:cs="Times New Roman"/>
                <w:b/>
                <w:color w:val="000000"/>
                <w:sz w:val="24"/>
                <w:szCs w:val="24"/>
              </w:rPr>
              <w:t>Panel A: Observed</w:t>
            </w:r>
          </w:p>
        </w:tc>
        <w:tc>
          <w:tcPr>
            <w:tcW w:w="2189" w:type="dxa"/>
            <w:tcBorders>
              <w:top w:val="nil"/>
              <w:left w:val="nil"/>
              <w:bottom w:val="nil"/>
              <w:right w:val="nil"/>
            </w:tcBorders>
            <w:shd w:val="clear" w:color="auto" w:fill="auto"/>
            <w:vAlign w:val="bottom"/>
            <w:hideMark/>
          </w:tcPr>
          <w:p w14:paraId="37765F24" w14:textId="77777777" w:rsidR="000F7C00" w:rsidRPr="00C07E62" w:rsidRDefault="000F7C00" w:rsidP="00211FA3">
            <w:pPr>
              <w:spacing w:after="0" w:line="240" w:lineRule="auto"/>
              <w:jc w:val="center"/>
              <w:rPr>
                <w:rFonts w:ascii="Times New Roman" w:eastAsia="Times New Roman" w:hAnsi="Times New Roman" w:cs="Times New Roman"/>
                <w:color w:val="000000"/>
                <w:sz w:val="24"/>
                <w:szCs w:val="24"/>
              </w:rPr>
            </w:pPr>
          </w:p>
        </w:tc>
        <w:tc>
          <w:tcPr>
            <w:tcW w:w="2189" w:type="dxa"/>
            <w:tcBorders>
              <w:top w:val="nil"/>
              <w:left w:val="nil"/>
              <w:bottom w:val="nil"/>
              <w:right w:val="nil"/>
            </w:tcBorders>
            <w:shd w:val="clear" w:color="auto" w:fill="auto"/>
            <w:vAlign w:val="bottom"/>
            <w:hideMark/>
          </w:tcPr>
          <w:p w14:paraId="532CC9A2" w14:textId="77777777" w:rsidR="000F7C00" w:rsidRPr="00C07E62" w:rsidRDefault="000F7C00" w:rsidP="00211FA3">
            <w:pPr>
              <w:spacing w:after="0" w:line="240" w:lineRule="auto"/>
              <w:jc w:val="center"/>
              <w:rPr>
                <w:rFonts w:ascii="Times New Roman" w:eastAsia="Times New Roman" w:hAnsi="Times New Roman" w:cs="Times New Roman"/>
                <w:sz w:val="24"/>
                <w:szCs w:val="24"/>
              </w:rPr>
            </w:pPr>
          </w:p>
        </w:tc>
        <w:tc>
          <w:tcPr>
            <w:tcW w:w="2189" w:type="dxa"/>
            <w:tcBorders>
              <w:top w:val="nil"/>
              <w:left w:val="nil"/>
              <w:bottom w:val="nil"/>
              <w:right w:val="nil"/>
            </w:tcBorders>
            <w:shd w:val="clear" w:color="auto" w:fill="auto"/>
            <w:vAlign w:val="bottom"/>
            <w:hideMark/>
          </w:tcPr>
          <w:p w14:paraId="784038B8" w14:textId="77777777" w:rsidR="000F7C00" w:rsidRPr="00C07E62" w:rsidRDefault="000F7C00" w:rsidP="00211FA3">
            <w:pPr>
              <w:spacing w:after="0" w:line="240" w:lineRule="auto"/>
              <w:jc w:val="center"/>
              <w:rPr>
                <w:rFonts w:ascii="Times New Roman" w:eastAsia="Times New Roman" w:hAnsi="Times New Roman" w:cs="Times New Roman"/>
                <w:sz w:val="24"/>
                <w:szCs w:val="24"/>
              </w:rPr>
            </w:pPr>
          </w:p>
        </w:tc>
        <w:tc>
          <w:tcPr>
            <w:tcW w:w="2190" w:type="dxa"/>
            <w:tcBorders>
              <w:top w:val="nil"/>
              <w:left w:val="nil"/>
              <w:bottom w:val="nil"/>
              <w:right w:val="nil"/>
            </w:tcBorders>
            <w:shd w:val="clear" w:color="auto" w:fill="auto"/>
            <w:vAlign w:val="bottom"/>
            <w:hideMark/>
          </w:tcPr>
          <w:p w14:paraId="52CCE81F" w14:textId="77777777" w:rsidR="000F7C00" w:rsidRPr="00C07E62" w:rsidRDefault="000F7C00" w:rsidP="00211FA3">
            <w:pPr>
              <w:spacing w:after="0" w:line="240" w:lineRule="auto"/>
              <w:jc w:val="center"/>
              <w:rPr>
                <w:rFonts w:ascii="Times New Roman" w:eastAsia="Times New Roman" w:hAnsi="Times New Roman" w:cs="Times New Roman"/>
                <w:sz w:val="24"/>
                <w:szCs w:val="24"/>
              </w:rPr>
            </w:pPr>
          </w:p>
        </w:tc>
      </w:tr>
      <w:tr w:rsidR="000F7C00" w:rsidRPr="00C07E62" w14:paraId="67312197" w14:textId="77777777" w:rsidTr="00211FA3">
        <w:trPr>
          <w:trHeight w:val="280"/>
          <w:jc w:val="center"/>
        </w:trPr>
        <w:tc>
          <w:tcPr>
            <w:tcW w:w="4203" w:type="dxa"/>
            <w:tcBorders>
              <w:top w:val="nil"/>
              <w:left w:val="nil"/>
              <w:bottom w:val="nil"/>
              <w:right w:val="nil"/>
            </w:tcBorders>
            <w:shd w:val="clear" w:color="auto" w:fill="auto"/>
            <w:noWrap/>
            <w:vAlign w:val="bottom"/>
            <w:hideMark/>
          </w:tcPr>
          <w:p w14:paraId="6F7AD38F" w14:textId="77777777" w:rsidR="000F7C00" w:rsidRPr="00C07E62" w:rsidRDefault="000F7C00" w:rsidP="00211FA3">
            <w:pPr>
              <w:spacing w:after="0" w:line="240" w:lineRule="auto"/>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 xml:space="preserve">     1979</w:t>
            </w:r>
          </w:p>
        </w:tc>
        <w:tc>
          <w:tcPr>
            <w:tcW w:w="2189" w:type="dxa"/>
            <w:tcBorders>
              <w:top w:val="nil"/>
              <w:left w:val="nil"/>
              <w:bottom w:val="nil"/>
              <w:right w:val="nil"/>
            </w:tcBorders>
            <w:shd w:val="clear" w:color="auto" w:fill="auto"/>
            <w:noWrap/>
            <w:vAlign w:val="bottom"/>
            <w:hideMark/>
          </w:tcPr>
          <w:p w14:paraId="5612FAED" w14:textId="34739D9E" w:rsidR="000F7C00" w:rsidRPr="00C07E62" w:rsidRDefault="000F7C00" w:rsidP="00211FA3">
            <w:pPr>
              <w:spacing w:after="0" w:line="240" w:lineRule="auto"/>
              <w:jc w:val="center"/>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12.</w:t>
            </w:r>
            <w:r w:rsidR="006527F1">
              <w:rPr>
                <w:rFonts w:ascii="Times New Roman" w:eastAsia="Times New Roman" w:hAnsi="Times New Roman" w:cs="Times New Roman"/>
                <w:color w:val="000000"/>
                <w:sz w:val="24"/>
                <w:szCs w:val="24"/>
              </w:rPr>
              <w:t>24</w:t>
            </w:r>
            <w:r w:rsidRPr="00C07E62">
              <w:rPr>
                <w:rFonts w:ascii="Times New Roman" w:eastAsia="Times New Roman" w:hAnsi="Times New Roman" w:cs="Times New Roman"/>
                <w:color w:val="000000"/>
                <w:sz w:val="24"/>
                <w:szCs w:val="24"/>
              </w:rPr>
              <w:t>%</w:t>
            </w:r>
          </w:p>
        </w:tc>
        <w:tc>
          <w:tcPr>
            <w:tcW w:w="2189" w:type="dxa"/>
            <w:tcBorders>
              <w:top w:val="nil"/>
              <w:left w:val="nil"/>
              <w:bottom w:val="nil"/>
              <w:right w:val="nil"/>
            </w:tcBorders>
            <w:shd w:val="clear" w:color="auto" w:fill="auto"/>
            <w:noWrap/>
            <w:vAlign w:val="bottom"/>
            <w:hideMark/>
          </w:tcPr>
          <w:p w14:paraId="3131382E" w14:textId="5272933C" w:rsidR="000F7C00" w:rsidRPr="00C07E62" w:rsidRDefault="000F7C00" w:rsidP="00211FA3">
            <w:pPr>
              <w:spacing w:after="0" w:line="240" w:lineRule="auto"/>
              <w:jc w:val="center"/>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17.</w:t>
            </w:r>
            <w:r w:rsidR="006527F1">
              <w:rPr>
                <w:rFonts w:ascii="Times New Roman" w:eastAsia="Times New Roman" w:hAnsi="Times New Roman" w:cs="Times New Roman"/>
                <w:color w:val="000000"/>
                <w:sz w:val="24"/>
                <w:szCs w:val="24"/>
              </w:rPr>
              <w:t>15</w:t>
            </w:r>
            <w:r w:rsidRPr="00C07E62">
              <w:rPr>
                <w:rFonts w:ascii="Times New Roman" w:eastAsia="Times New Roman" w:hAnsi="Times New Roman" w:cs="Times New Roman"/>
                <w:color w:val="000000"/>
                <w:sz w:val="24"/>
                <w:szCs w:val="24"/>
              </w:rPr>
              <w:t>%</w:t>
            </w:r>
          </w:p>
        </w:tc>
        <w:tc>
          <w:tcPr>
            <w:tcW w:w="2189" w:type="dxa"/>
            <w:tcBorders>
              <w:top w:val="nil"/>
              <w:left w:val="nil"/>
              <w:bottom w:val="nil"/>
              <w:right w:val="nil"/>
            </w:tcBorders>
            <w:shd w:val="clear" w:color="auto" w:fill="auto"/>
            <w:noWrap/>
            <w:vAlign w:val="bottom"/>
            <w:hideMark/>
          </w:tcPr>
          <w:p w14:paraId="48450DA2" w14:textId="108740AA" w:rsidR="000F7C00" w:rsidRPr="00C07E62" w:rsidRDefault="000F7C00" w:rsidP="00211FA3">
            <w:pPr>
              <w:spacing w:after="0" w:line="240" w:lineRule="auto"/>
              <w:jc w:val="center"/>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23.</w:t>
            </w:r>
            <w:r w:rsidR="006527F1">
              <w:rPr>
                <w:rFonts w:ascii="Times New Roman" w:eastAsia="Times New Roman" w:hAnsi="Times New Roman" w:cs="Times New Roman"/>
                <w:color w:val="000000"/>
                <w:sz w:val="24"/>
                <w:szCs w:val="24"/>
              </w:rPr>
              <w:t>72</w:t>
            </w:r>
            <w:r w:rsidRPr="00C07E62">
              <w:rPr>
                <w:rFonts w:ascii="Times New Roman" w:eastAsia="Times New Roman" w:hAnsi="Times New Roman" w:cs="Times New Roman"/>
                <w:color w:val="000000"/>
                <w:sz w:val="24"/>
                <w:szCs w:val="24"/>
              </w:rPr>
              <w:t>%</w:t>
            </w:r>
          </w:p>
        </w:tc>
        <w:tc>
          <w:tcPr>
            <w:tcW w:w="2190" w:type="dxa"/>
            <w:tcBorders>
              <w:top w:val="nil"/>
              <w:left w:val="nil"/>
              <w:bottom w:val="nil"/>
              <w:right w:val="nil"/>
            </w:tcBorders>
            <w:shd w:val="clear" w:color="auto" w:fill="auto"/>
            <w:noWrap/>
            <w:vAlign w:val="bottom"/>
            <w:hideMark/>
          </w:tcPr>
          <w:p w14:paraId="1C28E049" w14:textId="6F264242" w:rsidR="000F7C00" w:rsidRPr="00C07E62" w:rsidRDefault="006527F1" w:rsidP="00211FA3">
            <w:pPr>
              <w:spacing w:after="0" w:line="240" w:lineRule="auto"/>
              <w:jc w:val="center"/>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1</w:t>
            </w:r>
            <w:r w:rsidR="000F7C00" w:rsidRPr="00C07E6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89</w:t>
            </w:r>
            <w:r w:rsidR="000F7C00" w:rsidRPr="00C07E62">
              <w:rPr>
                <w:rFonts w:ascii="Times New Roman" w:eastAsia="Times New Roman" w:hAnsi="Times New Roman" w:cs="Times New Roman"/>
                <w:color w:val="000000"/>
                <w:sz w:val="24"/>
                <w:szCs w:val="24"/>
              </w:rPr>
              <w:t>%</w:t>
            </w:r>
          </w:p>
        </w:tc>
      </w:tr>
      <w:tr w:rsidR="000F7C00" w:rsidRPr="00C07E62" w14:paraId="4360D8E6" w14:textId="77777777" w:rsidTr="00211FA3">
        <w:trPr>
          <w:trHeight w:val="280"/>
          <w:jc w:val="center"/>
        </w:trPr>
        <w:tc>
          <w:tcPr>
            <w:tcW w:w="4203" w:type="dxa"/>
            <w:tcBorders>
              <w:top w:val="nil"/>
              <w:left w:val="nil"/>
              <w:bottom w:val="nil"/>
              <w:right w:val="nil"/>
            </w:tcBorders>
            <w:shd w:val="clear" w:color="auto" w:fill="auto"/>
            <w:noWrap/>
            <w:vAlign w:val="bottom"/>
            <w:hideMark/>
          </w:tcPr>
          <w:p w14:paraId="62E28C39" w14:textId="77777777" w:rsidR="000F7C00" w:rsidRPr="00C07E62" w:rsidRDefault="000F7C00" w:rsidP="00211FA3">
            <w:pPr>
              <w:spacing w:after="0" w:line="240" w:lineRule="auto"/>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 xml:space="preserve">     2018</w:t>
            </w:r>
          </w:p>
        </w:tc>
        <w:tc>
          <w:tcPr>
            <w:tcW w:w="2189" w:type="dxa"/>
            <w:tcBorders>
              <w:top w:val="nil"/>
              <w:left w:val="nil"/>
              <w:bottom w:val="nil"/>
              <w:right w:val="nil"/>
            </w:tcBorders>
            <w:shd w:val="clear" w:color="auto" w:fill="auto"/>
            <w:noWrap/>
            <w:vAlign w:val="bottom"/>
            <w:hideMark/>
          </w:tcPr>
          <w:p w14:paraId="282A55E7" w14:textId="29C8BDBD" w:rsidR="000F7C00" w:rsidRPr="00C07E62" w:rsidRDefault="000F7C00" w:rsidP="00211FA3">
            <w:pPr>
              <w:spacing w:after="0" w:line="240" w:lineRule="auto"/>
              <w:jc w:val="center"/>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14.</w:t>
            </w:r>
            <w:r w:rsidR="00C024B6" w:rsidRPr="00C07E62">
              <w:rPr>
                <w:rFonts w:ascii="Times New Roman" w:eastAsia="Times New Roman" w:hAnsi="Times New Roman" w:cs="Times New Roman"/>
                <w:color w:val="000000"/>
                <w:sz w:val="24"/>
                <w:szCs w:val="24"/>
              </w:rPr>
              <w:t>4</w:t>
            </w:r>
            <w:r w:rsidR="00C024B6">
              <w:rPr>
                <w:rFonts w:ascii="Times New Roman" w:eastAsia="Times New Roman" w:hAnsi="Times New Roman" w:cs="Times New Roman"/>
                <w:color w:val="000000"/>
                <w:sz w:val="24"/>
                <w:szCs w:val="24"/>
              </w:rPr>
              <w:t>2</w:t>
            </w:r>
            <w:r w:rsidRPr="00C07E62">
              <w:rPr>
                <w:rFonts w:ascii="Times New Roman" w:eastAsia="Times New Roman" w:hAnsi="Times New Roman" w:cs="Times New Roman"/>
                <w:color w:val="000000"/>
                <w:sz w:val="24"/>
                <w:szCs w:val="24"/>
              </w:rPr>
              <w:t>%</w:t>
            </w:r>
          </w:p>
        </w:tc>
        <w:tc>
          <w:tcPr>
            <w:tcW w:w="2189" w:type="dxa"/>
            <w:tcBorders>
              <w:top w:val="nil"/>
              <w:left w:val="nil"/>
              <w:bottom w:val="nil"/>
              <w:right w:val="nil"/>
            </w:tcBorders>
            <w:shd w:val="clear" w:color="auto" w:fill="auto"/>
            <w:noWrap/>
            <w:vAlign w:val="bottom"/>
            <w:hideMark/>
          </w:tcPr>
          <w:p w14:paraId="7B2E47AC" w14:textId="1523B489" w:rsidR="000F7C00" w:rsidRPr="00C07E62" w:rsidRDefault="000F7C00" w:rsidP="00211FA3">
            <w:pPr>
              <w:spacing w:after="0" w:line="240" w:lineRule="auto"/>
              <w:jc w:val="center"/>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19.</w:t>
            </w:r>
            <w:r w:rsidR="00C024B6">
              <w:rPr>
                <w:rFonts w:ascii="Times New Roman" w:eastAsia="Times New Roman" w:hAnsi="Times New Roman" w:cs="Times New Roman"/>
                <w:color w:val="000000"/>
                <w:sz w:val="24"/>
                <w:szCs w:val="24"/>
              </w:rPr>
              <w:t>47</w:t>
            </w:r>
            <w:r w:rsidRPr="00C07E62">
              <w:rPr>
                <w:rFonts w:ascii="Times New Roman" w:eastAsia="Times New Roman" w:hAnsi="Times New Roman" w:cs="Times New Roman"/>
                <w:color w:val="000000"/>
                <w:sz w:val="24"/>
                <w:szCs w:val="24"/>
              </w:rPr>
              <w:t>%</w:t>
            </w:r>
          </w:p>
        </w:tc>
        <w:tc>
          <w:tcPr>
            <w:tcW w:w="2189" w:type="dxa"/>
            <w:tcBorders>
              <w:top w:val="nil"/>
              <w:left w:val="nil"/>
              <w:bottom w:val="nil"/>
              <w:right w:val="nil"/>
            </w:tcBorders>
            <w:shd w:val="clear" w:color="auto" w:fill="auto"/>
            <w:noWrap/>
            <w:vAlign w:val="bottom"/>
            <w:hideMark/>
          </w:tcPr>
          <w:p w14:paraId="398079A3" w14:textId="15D19A14" w:rsidR="000F7C00" w:rsidRPr="00C07E62" w:rsidRDefault="000F7C00" w:rsidP="00211FA3">
            <w:pPr>
              <w:spacing w:after="0" w:line="240" w:lineRule="auto"/>
              <w:jc w:val="center"/>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26.</w:t>
            </w:r>
            <w:r w:rsidR="00C024B6">
              <w:rPr>
                <w:rFonts w:ascii="Times New Roman" w:eastAsia="Times New Roman" w:hAnsi="Times New Roman" w:cs="Times New Roman"/>
                <w:color w:val="000000"/>
                <w:sz w:val="24"/>
                <w:szCs w:val="24"/>
              </w:rPr>
              <w:t>20</w:t>
            </w:r>
            <w:r w:rsidRPr="00C07E62">
              <w:rPr>
                <w:rFonts w:ascii="Times New Roman" w:eastAsia="Times New Roman" w:hAnsi="Times New Roman" w:cs="Times New Roman"/>
                <w:color w:val="000000"/>
                <w:sz w:val="24"/>
                <w:szCs w:val="24"/>
              </w:rPr>
              <w:t>%</w:t>
            </w:r>
          </w:p>
        </w:tc>
        <w:tc>
          <w:tcPr>
            <w:tcW w:w="2190" w:type="dxa"/>
            <w:tcBorders>
              <w:top w:val="nil"/>
              <w:left w:val="nil"/>
              <w:bottom w:val="nil"/>
              <w:right w:val="nil"/>
            </w:tcBorders>
            <w:shd w:val="clear" w:color="auto" w:fill="auto"/>
            <w:noWrap/>
            <w:vAlign w:val="bottom"/>
            <w:hideMark/>
          </w:tcPr>
          <w:p w14:paraId="10C72847" w14:textId="2510AE7C" w:rsidR="000F7C00" w:rsidRPr="00C07E62" w:rsidRDefault="000F7C00" w:rsidP="00211FA3">
            <w:pPr>
              <w:spacing w:after="0" w:line="240" w:lineRule="auto"/>
              <w:jc w:val="center"/>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33.</w:t>
            </w:r>
            <w:r w:rsidR="00C024B6">
              <w:rPr>
                <w:rFonts w:ascii="Times New Roman" w:eastAsia="Times New Roman" w:hAnsi="Times New Roman" w:cs="Times New Roman"/>
                <w:color w:val="000000"/>
                <w:sz w:val="24"/>
                <w:szCs w:val="24"/>
              </w:rPr>
              <w:t>74</w:t>
            </w:r>
            <w:r w:rsidRPr="00C07E62">
              <w:rPr>
                <w:rFonts w:ascii="Times New Roman" w:eastAsia="Times New Roman" w:hAnsi="Times New Roman" w:cs="Times New Roman"/>
                <w:color w:val="000000"/>
                <w:sz w:val="24"/>
                <w:szCs w:val="24"/>
              </w:rPr>
              <w:t>%</w:t>
            </w:r>
          </w:p>
        </w:tc>
      </w:tr>
      <w:tr w:rsidR="000F7C00" w:rsidRPr="00C07E62" w14:paraId="12ABD8AD" w14:textId="77777777" w:rsidTr="00211FA3">
        <w:trPr>
          <w:trHeight w:val="130"/>
          <w:jc w:val="center"/>
        </w:trPr>
        <w:tc>
          <w:tcPr>
            <w:tcW w:w="4203" w:type="dxa"/>
            <w:tcBorders>
              <w:top w:val="nil"/>
              <w:left w:val="nil"/>
              <w:bottom w:val="nil"/>
              <w:right w:val="nil"/>
            </w:tcBorders>
            <w:shd w:val="clear" w:color="auto" w:fill="auto"/>
            <w:noWrap/>
            <w:vAlign w:val="bottom"/>
            <w:hideMark/>
          </w:tcPr>
          <w:p w14:paraId="756DD6BA" w14:textId="77777777" w:rsidR="000F7C00" w:rsidRPr="00C07E62" w:rsidRDefault="000F7C00" w:rsidP="00211FA3">
            <w:pPr>
              <w:spacing w:after="0" w:line="240" w:lineRule="auto"/>
              <w:jc w:val="right"/>
              <w:rPr>
                <w:rFonts w:ascii="Times New Roman" w:eastAsia="Times New Roman" w:hAnsi="Times New Roman" w:cs="Times New Roman"/>
                <w:color w:val="000000"/>
                <w:sz w:val="24"/>
                <w:szCs w:val="24"/>
              </w:rPr>
            </w:pPr>
          </w:p>
        </w:tc>
        <w:tc>
          <w:tcPr>
            <w:tcW w:w="2189" w:type="dxa"/>
            <w:tcBorders>
              <w:top w:val="nil"/>
              <w:left w:val="nil"/>
              <w:bottom w:val="nil"/>
              <w:right w:val="nil"/>
            </w:tcBorders>
            <w:shd w:val="clear" w:color="auto" w:fill="auto"/>
            <w:noWrap/>
            <w:vAlign w:val="bottom"/>
            <w:hideMark/>
          </w:tcPr>
          <w:p w14:paraId="11D3A259" w14:textId="77777777" w:rsidR="000F7C00" w:rsidRPr="00C07E62" w:rsidRDefault="000F7C00" w:rsidP="00211FA3">
            <w:pPr>
              <w:spacing w:after="0" w:line="240" w:lineRule="auto"/>
              <w:jc w:val="center"/>
              <w:rPr>
                <w:rFonts w:ascii="Times New Roman" w:eastAsia="Times New Roman" w:hAnsi="Times New Roman" w:cs="Times New Roman"/>
                <w:sz w:val="24"/>
                <w:szCs w:val="24"/>
              </w:rPr>
            </w:pPr>
          </w:p>
        </w:tc>
        <w:tc>
          <w:tcPr>
            <w:tcW w:w="2189" w:type="dxa"/>
            <w:tcBorders>
              <w:top w:val="nil"/>
              <w:left w:val="nil"/>
              <w:bottom w:val="nil"/>
              <w:right w:val="nil"/>
            </w:tcBorders>
            <w:shd w:val="clear" w:color="auto" w:fill="auto"/>
            <w:noWrap/>
            <w:vAlign w:val="bottom"/>
            <w:hideMark/>
          </w:tcPr>
          <w:p w14:paraId="7F07DEB6" w14:textId="77777777" w:rsidR="000F7C00" w:rsidRPr="00C07E62" w:rsidRDefault="000F7C00" w:rsidP="00211FA3">
            <w:pPr>
              <w:spacing w:after="0" w:line="240" w:lineRule="auto"/>
              <w:jc w:val="center"/>
              <w:rPr>
                <w:rFonts w:ascii="Times New Roman" w:eastAsia="Times New Roman" w:hAnsi="Times New Roman" w:cs="Times New Roman"/>
                <w:sz w:val="24"/>
                <w:szCs w:val="24"/>
              </w:rPr>
            </w:pPr>
          </w:p>
        </w:tc>
        <w:tc>
          <w:tcPr>
            <w:tcW w:w="2189" w:type="dxa"/>
            <w:tcBorders>
              <w:top w:val="nil"/>
              <w:left w:val="nil"/>
              <w:bottom w:val="nil"/>
              <w:right w:val="nil"/>
            </w:tcBorders>
            <w:shd w:val="clear" w:color="auto" w:fill="auto"/>
            <w:noWrap/>
            <w:vAlign w:val="bottom"/>
            <w:hideMark/>
          </w:tcPr>
          <w:p w14:paraId="6BF7D6AA" w14:textId="77777777" w:rsidR="000F7C00" w:rsidRPr="00C07E62" w:rsidRDefault="000F7C00" w:rsidP="00211FA3">
            <w:pPr>
              <w:spacing w:after="0" w:line="240" w:lineRule="auto"/>
              <w:jc w:val="center"/>
              <w:rPr>
                <w:rFonts w:ascii="Times New Roman" w:eastAsia="Times New Roman" w:hAnsi="Times New Roman" w:cs="Times New Roman"/>
                <w:sz w:val="24"/>
                <w:szCs w:val="24"/>
              </w:rPr>
            </w:pPr>
          </w:p>
        </w:tc>
        <w:tc>
          <w:tcPr>
            <w:tcW w:w="2190" w:type="dxa"/>
            <w:tcBorders>
              <w:top w:val="nil"/>
              <w:left w:val="nil"/>
              <w:bottom w:val="nil"/>
              <w:right w:val="nil"/>
            </w:tcBorders>
            <w:shd w:val="clear" w:color="auto" w:fill="auto"/>
            <w:noWrap/>
            <w:vAlign w:val="bottom"/>
            <w:hideMark/>
          </w:tcPr>
          <w:p w14:paraId="1DF31CFD" w14:textId="77777777" w:rsidR="000F7C00" w:rsidRPr="00C07E62" w:rsidRDefault="000F7C00" w:rsidP="00211FA3">
            <w:pPr>
              <w:spacing w:after="0" w:line="240" w:lineRule="auto"/>
              <w:jc w:val="center"/>
              <w:rPr>
                <w:rFonts w:ascii="Times New Roman" w:eastAsia="Times New Roman" w:hAnsi="Times New Roman" w:cs="Times New Roman"/>
                <w:sz w:val="24"/>
                <w:szCs w:val="24"/>
              </w:rPr>
            </w:pPr>
          </w:p>
        </w:tc>
      </w:tr>
      <w:tr w:rsidR="000F7C00" w:rsidRPr="00C07E62" w14:paraId="2B32426D" w14:textId="77777777" w:rsidTr="00211FA3">
        <w:trPr>
          <w:trHeight w:val="432"/>
          <w:jc w:val="center"/>
        </w:trPr>
        <w:tc>
          <w:tcPr>
            <w:tcW w:w="4203" w:type="dxa"/>
            <w:tcBorders>
              <w:top w:val="nil"/>
              <w:left w:val="nil"/>
              <w:bottom w:val="nil"/>
              <w:right w:val="nil"/>
            </w:tcBorders>
            <w:shd w:val="clear" w:color="auto" w:fill="auto"/>
            <w:noWrap/>
            <w:vAlign w:val="bottom"/>
            <w:hideMark/>
          </w:tcPr>
          <w:p w14:paraId="65A41241" w14:textId="77777777" w:rsidR="000F7C00" w:rsidRPr="00C07E62" w:rsidRDefault="000F7C00" w:rsidP="00211FA3">
            <w:pPr>
              <w:spacing w:after="0" w:line="240" w:lineRule="auto"/>
              <w:rPr>
                <w:rFonts w:ascii="Times New Roman" w:eastAsia="Times New Roman" w:hAnsi="Times New Roman" w:cs="Times New Roman"/>
                <w:color w:val="000000"/>
                <w:sz w:val="24"/>
                <w:szCs w:val="24"/>
              </w:rPr>
            </w:pPr>
            <w:r w:rsidRPr="00C07E62">
              <w:rPr>
                <w:rFonts w:ascii="Times New Roman" w:eastAsia="Times New Roman" w:hAnsi="Times New Roman" w:cs="Times New Roman"/>
                <w:b/>
                <w:color w:val="000000"/>
                <w:sz w:val="24"/>
                <w:szCs w:val="24"/>
              </w:rPr>
              <w:t>Panel B: 2018 Simulations</w:t>
            </w:r>
          </w:p>
        </w:tc>
        <w:tc>
          <w:tcPr>
            <w:tcW w:w="2189" w:type="dxa"/>
            <w:tcBorders>
              <w:top w:val="nil"/>
              <w:left w:val="nil"/>
              <w:bottom w:val="nil"/>
              <w:right w:val="nil"/>
            </w:tcBorders>
            <w:shd w:val="clear" w:color="auto" w:fill="auto"/>
            <w:noWrap/>
            <w:vAlign w:val="bottom"/>
            <w:hideMark/>
          </w:tcPr>
          <w:p w14:paraId="625D244C" w14:textId="77777777" w:rsidR="000F7C00" w:rsidRPr="00C07E62" w:rsidRDefault="000F7C00" w:rsidP="00211FA3">
            <w:pPr>
              <w:spacing w:after="0" w:line="240" w:lineRule="auto"/>
              <w:jc w:val="center"/>
              <w:rPr>
                <w:rFonts w:ascii="Times New Roman" w:eastAsia="Times New Roman" w:hAnsi="Times New Roman" w:cs="Times New Roman"/>
                <w:color w:val="000000"/>
                <w:sz w:val="24"/>
                <w:szCs w:val="24"/>
              </w:rPr>
            </w:pPr>
          </w:p>
        </w:tc>
        <w:tc>
          <w:tcPr>
            <w:tcW w:w="2189" w:type="dxa"/>
            <w:tcBorders>
              <w:top w:val="nil"/>
              <w:left w:val="nil"/>
              <w:bottom w:val="nil"/>
              <w:right w:val="nil"/>
            </w:tcBorders>
            <w:shd w:val="clear" w:color="auto" w:fill="auto"/>
            <w:noWrap/>
            <w:vAlign w:val="bottom"/>
            <w:hideMark/>
          </w:tcPr>
          <w:p w14:paraId="2A466BE6" w14:textId="77777777" w:rsidR="000F7C00" w:rsidRPr="00C07E62" w:rsidRDefault="000F7C00" w:rsidP="00211FA3">
            <w:pPr>
              <w:spacing w:after="0" w:line="240" w:lineRule="auto"/>
              <w:jc w:val="center"/>
              <w:rPr>
                <w:rFonts w:ascii="Times New Roman" w:eastAsia="Times New Roman" w:hAnsi="Times New Roman" w:cs="Times New Roman"/>
                <w:sz w:val="24"/>
                <w:szCs w:val="24"/>
              </w:rPr>
            </w:pPr>
          </w:p>
        </w:tc>
        <w:tc>
          <w:tcPr>
            <w:tcW w:w="2189" w:type="dxa"/>
            <w:tcBorders>
              <w:top w:val="nil"/>
              <w:left w:val="nil"/>
              <w:bottom w:val="nil"/>
              <w:right w:val="nil"/>
            </w:tcBorders>
            <w:shd w:val="clear" w:color="auto" w:fill="auto"/>
            <w:noWrap/>
            <w:vAlign w:val="bottom"/>
            <w:hideMark/>
          </w:tcPr>
          <w:p w14:paraId="6AA62CCB" w14:textId="77777777" w:rsidR="000F7C00" w:rsidRPr="00C07E62" w:rsidRDefault="000F7C00" w:rsidP="00211FA3">
            <w:pPr>
              <w:spacing w:after="0" w:line="240" w:lineRule="auto"/>
              <w:jc w:val="center"/>
              <w:rPr>
                <w:rFonts w:ascii="Times New Roman" w:eastAsia="Times New Roman" w:hAnsi="Times New Roman" w:cs="Times New Roman"/>
                <w:sz w:val="24"/>
                <w:szCs w:val="24"/>
              </w:rPr>
            </w:pPr>
          </w:p>
        </w:tc>
        <w:tc>
          <w:tcPr>
            <w:tcW w:w="2190" w:type="dxa"/>
            <w:tcBorders>
              <w:top w:val="nil"/>
              <w:left w:val="nil"/>
              <w:bottom w:val="nil"/>
              <w:right w:val="nil"/>
            </w:tcBorders>
            <w:shd w:val="clear" w:color="auto" w:fill="auto"/>
            <w:noWrap/>
            <w:vAlign w:val="bottom"/>
            <w:hideMark/>
          </w:tcPr>
          <w:p w14:paraId="04116A93" w14:textId="77777777" w:rsidR="000F7C00" w:rsidRPr="00C07E62" w:rsidRDefault="000F7C00" w:rsidP="00211FA3">
            <w:pPr>
              <w:spacing w:after="0" w:line="240" w:lineRule="auto"/>
              <w:jc w:val="center"/>
              <w:rPr>
                <w:rFonts w:ascii="Times New Roman" w:eastAsia="Times New Roman" w:hAnsi="Times New Roman" w:cs="Times New Roman"/>
                <w:sz w:val="24"/>
                <w:szCs w:val="24"/>
              </w:rPr>
            </w:pPr>
          </w:p>
        </w:tc>
      </w:tr>
      <w:tr w:rsidR="000F7C00" w:rsidRPr="00C07E62" w14:paraId="361655A6" w14:textId="77777777" w:rsidTr="00211FA3">
        <w:trPr>
          <w:trHeight w:val="280"/>
          <w:jc w:val="center"/>
        </w:trPr>
        <w:tc>
          <w:tcPr>
            <w:tcW w:w="4203" w:type="dxa"/>
            <w:tcBorders>
              <w:top w:val="nil"/>
              <w:left w:val="nil"/>
              <w:bottom w:val="nil"/>
              <w:right w:val="nil"/>
            </w:tcBorders>
            <w:shd w:val="clear" w:color="auto" w:fill="auto"/>
            <w:noWrap/>
            <w:vAlign w:val="bottom"/>
            <w:hideMark/>
          </w:tcPr>
          <w:p w14:paraId="422B0BD7" w14:textId="77777777" w:rsidR="000F7C00" w:rsidRPr="00C07E62" w:rsidRDefault="000F7C00" w:rsidP="00211FA3">
            <w:pPr>
              <w:spacing w:after="0" w:line="240" w:lineRule="auto"/>
              <w:rPr>
                <w:rFonts w:ascii="Times New Roman" w:eastAsia="Times New Roman" w:hAnsi="Times New Roman" w:cs="Times New Roman"/>
                <w:i/>
                <w:color w:val="000000"/>
                <w:sz w:val="24"/>
                <w:szCs w:val="24"/>
              </w:rPr>
            </w:pPr>
            <w:r w:rsidRPr="00C07E62">
              <w:rPr>
                <w:rFonts w:ascii="Times New Roman" w:eastAsia="Times New Roman" w:hAnsi="Times New Roman" w:cs="Times New Roman"/>
                <w:color w:val="000000"/>
                <w:sz w:val="24"/>
                <w:szCs w:val="24"/>
              </w:rPr>
              <w:t xml:space="preserve">     </w:t>
            </w:r>
            <w:r w:rsidRPr="00C07E62">
              <w:rPr>
                <w:rFonts w:ascii="Times New Roman" w:eastAsia="Times New Roman" w:hAnsi="Times New Roman" w:cs="Times New Roman"/>
                <w:i/>
                <w:color w:val="000000"/>
                <w:sz w:val="24"/>
                <w:szCs w:val="24"/>
              </w:rPr>
              <w:t>Distribution Method</w:t>
            </w:r>
          </w:p>
        </w:tc>
        <w:tc>
          <w:tcPr>
            <w:tcW w:w="2189" w:type="dxa"/>
            <w:tcBorders>
              <w:top w:val="nil"/>
              <w:left w:val="nil"/>
              <w:bottom w:val="nil"/>
              <w:right w:val="nil"/>
            </w:tcBorders>
            <w:shd w:val="clear" w:color="auto" w:fill="auto"/>
            <w:noWrap/>
            <w:vAlign w:val="bottom"/>
            <w:hideMark/>
          </w:tcPr>
          <w:p w14:paraId="08721272" w14:textId="77777777" w:rsidR="000F7C00" w:rsidRPr="00C07E62" w:rsidRDefault="000F7C00" w:rsidP="00211FA3">
            <w:pPr>
              <w:spacing w:after="0" w:line="240" w:lineRule="auto"/>
              <w:jc w:val="center"/>
              <w:rPr>
                <w:rFonts w:ascii="Times New Roman" w:eastAsia="Times New Roman" w:hAnsi="Times New Roman" w:cs="Times New Roman"/>
                <w:color w:val="000000"/>
                <w:sz w:val="24"/>
                <w:szCs w:val="24"/>
              </w:rPr>
            </w:pPr>
          </w:p>
        </w:tc>
        <w:tc>
          <w:tcPr>
            <w:tcW w:w="2189" w:type="dxa"/>
            <w:tcBorders>
              <w:top w:val="nil"/>
              <w:left w:val="nil"/>
              <w:bottom w:val="nil"/>
              <w:right w:val="nil"/>
            </w:tcBorders>
            <w:shd w:val="clear" w:color="auto" w:fill="auto"/>
            <w:noWrap/>
            <w:vAlign w:val="bottom"/>
            <w:hideMark/>
          </w:tcPr>
          <w:p w14:paraId="1B3A6301" w14:textId="77777777" w:rsidR="000F7C00" w:rsidRPr="00C07E62" w:rsidRDefault="000F7C00" w:rsidP="00211FA3">
            <w:pPr>
              <w:spacing w:after="0" w:line="240" w:lineRule="auto"/>
              <w:jc w:val="center"/>
              <w:rPr>
                <w:rFonts w:ascii="Times New Roman" w:eastAsia="Times New Roman" w:hAnsi="Times New Roman" w:cs="Times New Roman"/>
                <w:sz w:val="24"/>
                <w:szCs w:val="24"/>
              </w:rPr>
            </w:pPr>
          </w:p>
        </w:tc>
        <w:tc>
          <w:tcPr>
            <w:tcW w:w="2189" w:type="dxa"/>
            <w:tcBorders>
              <w:top w:val="nil"/>
              <w:left w:val="nil"/>
              <w:bottom w:val="nil"/>
              <w:right w:val="nil"/>
            </w:tcBorders>
            <w:shd w:val="clear" w:color="auto" w:fill="auto"/>
            <w:noWrap/>
            <w:vAlign w:val="bottom"/>
            <w:hideMark/>
          </w:tcPr>
          <w:p w14:paraId="29F4CAB2" w14:textId="77777777" w:rsidR="000F7C00" w:rsidRPr="00C07E62" w:rsidRDefault="000F7C00" w:rsidP="00211FA3">
            <w:pPr>
              <w:spacing w:after="0" w:line="240" w:lineRule="auto"/>
              <w:jc w:val="center"/>
              <w:rPr>
                <w:rFonts w:ascii="Times New Roman" w:eastAsia="Times New Roman" w:hAnsi="Times New Roman" w:cs="Times New Roman"/>
                <w:sz w:val="24"/>
                <w:szCs w:val="24"/>
              </w:rPr>
            </w:pPr>
          </w:p>
        </w:tc>
        <w:tc>
          <w:tcPr>
            <w:tcW w:w="2190" w:type="dxa"/>
            <w:tcBorders>
              <w:top w:val="nil"/>
              <w:left w:val="nil"/>
              <w:bottom w:val="nil"/>
              <w:right w:val="nil"/>
            </w:tcBorders>
            <w:shd w:val="clear" w:color="auto" w:fill="auto"/>
            <w:noWrap/>
            <w:vAlign w:val="bottom"/>
            <w:hideMark/>
          </w:tcPr>
          <w:p w14:paraId="2F10E462" w14:textId="77777777" w:rsidR="000F7C00" w:rsidRPr="00C07E62" w:rsidRDefault="000F7C00" w:rsidP="00211FA3">
            <w:pPr>
              <w:spacing w:after="0" w:line="240" w:lineRule="auto"/>
              <w:jc w:val="center"/>
              <w:rPr>
                <w:rFonts w:ascii="Times New Roman" w:eastAsia="Times New Roman" w:hAnsi="Times New Roman" w:cs="Times New Roman"/>
                <w:sz w:val="24"/>
                <w:szCs w:val="24"/>
              </w:rPr>
            </w:pPr>
          </w:p>
        </w:tc>
      </w:tr>
      <w:tr w:rsidR="00F5769B" w:rsidRPr="00C07E62" w14:paraId="3734E838" w14:textId="77777777" w:rsidTr="0001364B">
        <w:trPr>
          <w:trHeight w:val="280"/>
          <w:jc w:val="center"/>
        </w:trPr>
        <w:tc>
          <w:tcPr>
            <w:tcW w:w="4203" w:type="dxa"/>
            <w:tcBorders>
              <w:top w:val="nil"/>
              <w:left w:val="nil"/>
              <w:bottom w:val="nil"/>
              <w:right w:val="nil"/>
            </w:tcBorders>
            <w:shd w:val="clear" w:color="auto" w:fill="auto"/>
            <w:noWrap/>
            <w:vAlign w:val="bottom"/>
            <w:hideMark/>
          </w:tcPr>
          <w:p w14:paraId="11E0972D" w14:textId="77777777" w:rsidR="00F5769B" w:rsidRPr="00C07E62" w:rsidRDefault="00F5769B" w:rsidP="00F5769B">
            <w:pPr>
              <w:spacing w:after="0" w:line="240" w:lineRule="auto"/>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 xml:space="preserve">        1) Raise BA share to 50%</w:t>
            </w:r>
          </w:p>
        </w:tc>
        <w:tc>
          <w:tcPr>
            <w:tcW w:w="2189" w:type="dxa"/>
            <w:tcBorders>
              <w:top w:val="nil"/>
              <w:left w:val="nil"/>
              <w:bottom w:val="nil"/>
              <w:right w:val="nil"/>
            </w:tcBorders>
            <w:shd w:val="clear" w:color="auto" w:fill="auto"/>
            <w:noWrap/>
            <w:vAlign w:val="bottom"/>
            <w:hideMark/>
          </w:tcPr>
          <w:p w14:paraId="701452F7" w14:textId="212E8B51" w:rsidR="00F5769B" w:rsidRPr="00F5769B" w:rsidRDefault="00F5769B" w:rsidP="00F5769B">
            <w:pPr>
              <w:spacing w:after="0" w:line="240" w:lineRule="auto"/>
              <w:jc w:val="center"/>
              <w:rPr>
                <w:rFonts w:ascii="Times New Roman" w:eastAsia="Times New Roman" w:hAnsi="Times New Roman" w:cs="Times New Roman"/>
                <w:color w:val="000000"/>
                <w:sz w:val="24"/>
                <w:szCs w:val="24"/>
              </w:rPr>
            </w:pPr>
            <w:r w:rsidRPr="00F5769B">
              <w:rPr>
                <w:rFonts w:ascii="Times New Roman" w:hAnsi="Times New Roman" w:cs="Times New Roman"/>
                <w:color w:val="000000"/>
                <w:sz w:val="24"/>
                <w:szCs w:val="24"/>
              </w:rPr>
              <w:t>12.89%</w:t>
            </w:r>
          </w:p>
        </w:tc>
        <w:tc>
          <w:tcPr>
            <w:tcW w:w="2189" w:type="dxa"/>
            <w:tcBorders>
              <w:top w:val="nil"/>
              <w:left w:val="nil"/>
              <w:bottom w:val="nil"/>
              <w:right w:val="nil"/>
            </w:tcBorders>
            <w:shd w:val="clear" w:color="auto" w:fill="auto"/>
            <w:noWrap/>
            <w:vAlign w:val="bottom"/>
            <w:hideMark/>
          </w:tcPr>
          <w:p w14:paraId="56BFC1B8" w14:textId="4605E3D8" w:rsidR="00F5769B" w:rsidRPr="00F5769B" w:rsidRDefault="00F5769B" w:rsidP="00F5769B">
            <w:pPr>
              <w:spacing w:after="0" w:line="240" w:lineRule="auto"/>
              <w:jc w:val="center"/>
              <w:rPr>
                <w:rFonts w:ascii="Times New Roman" w:eastAsia="Times New Roman" w:hAnsi="Times New Roman" w:cs="Times New Roman"/>
                <w:color w:val="000000"/>
                <w:sz w:val="24"/>
                <w:szCs w:val="24"/>
              </w:rPr>
            </w:pPr>
            <w:r w:rsidRPr="00F5769B">
              <w:rPr>
                <w:rFonts w:ascii="Times New Roman" w:hAnsi="Times New Roman" w:cs="Times New Roman"/>
                <w:color w:val="000000"/>
                <w:sz w:val="24"/>
                <w:szCs w:val="24"/>
              </w:rPr>
              <w:t>17.31%</w:t>
            </w:r>
          </w:p>
        </w:tc>
        <w:tc>
          <w:tcPr>
            <w:tcW w:w="2189" w:type="dxa"/>
            <w:tcBorders>
              <w:top w:val="nil"/>
              <w:left w:val="nil"/>
              <w:bottom w:val="nil"/>
              <w:right w:val="nil"/>
            </w:tcBorders>
            <w:shd w:val="clear" w:color="auto" w:fill="auto"/>
            <w:noWrap/>
            <w:vAlign w:val="bottom"/>
            <w:hideMark/>
          </w:tcPr>
          <w:p w14:paraId="15779094" w14:textId="6003C744" w:rsidR="00F5769B" w:rsidRPr="00F5769B" w:rsidRDefault="00F5769B" w:rsidP="00F5769B">
            <w:pPr>
              <w:spacing w:after="0" w:line="240" w:lineRule="auto"/>
              <w:jc w:val="center"/>
              <w:rPr>
                <w:rFonts w:ascii="Times New Roman" w:eastAsia="Times New Roman" w:hAnsi="Times New Roman" w:cs="Times New Roman"/>
                <w:color w:val="000000"/>
                <w:sz w:val="24"/>
                <w:szCs w:val="24"/>
              </w:rPr>
            </w:pPr>
            <w:r w:rsidRPr="00F5769B">
              <w:rPr>
                <w:rFonts w:ascii="Times New Roman" w:hAnsi="Times New Roman" w:cs="Times New Roman"/>
                <w:color w:val="000000"/>
                <w:sz w:val="24"/>
                <w:szCs w:val="24"/>
              </w:rPr>
              <w:t>23.29%</w:t>
            </w:r>
          </w:p>
        </w:tc>
        <w:tc>
          <w:tcPr>
            <w:tcW w:w="2190" w:type="dxa"/>
            <w:tcBorders>
              <w:top w:val="nil"/>
              <w:left w:val="nil"/>
              <w:bottom w:val="nil"/>
              <w:right w:val="nil"/>
            </w:tcBorders>
            <w:shd w:val="clear" w:color="auto" w:fill="auto"/>
            <w:noWrap/>
            <w:vAlign w:val="bottom"/>
            <w:hideMark/>
          </w:tcPr>
          <w:p w14:paraId="26F2445A" w14:textId="08E64D3C" w:rsidR="00F5769B" w:rsidRPr="00F5769B" w:rsidRDefault="00F5769B" w:rsidP="00F5769B">
            <w:pPr>
              <w:spacing w:after="0" w:line="240" w:lineRule="auto"/>
              <w:jc w:val="center"/>
              <w:rPr>
                <w:rFonts w:ascii="Times New Roman" w:eastAsia="Times New Roman" w:hAnsi="Times New Roman" w:cs="Times New Roman"/>
                <w:color w:val="000000"/>
                <w:sz w:val="24"/>
                <w:szCs w:val="24"/>
              </w:rPr>
            </w:pPr>
            <w:r w:rsidRPr="00F5769B">
              <w:rPr>
                <w:rFonts w:ascii="Times New Roman" w:hAnsi="Times New Roman" w:cs="Times New Roman"/>
                <w:color w:val="000000"/>
                <w:sz w:val="24"/>
                <w:szCs w:val="24"/>
              </w:rPr>
              <w:t>29.89%</w:t>
            </w:r>
          </w:p>
        </w:tc>
      </w:tr>
      <w:tr w:rsidR="00F5769B" w:rsidRPr="00C07E62" w14:paraId="1A9D98E3" w14:textId="77777777" w:rsidTr="0001364B">
        <w:trPr>
          <w:trHeight w:val="280"/>
          <w:jc w:val="center"/>
        </w:trPr>
        <w:tc>
          <w:tcPr>
            <w:tcW w:w="4203" w:type="dxa"/>
            <w:tcBorders>
              <w:top w:val="nil"/>
              <w:left w:val="nil"/>
              <w:bottom w:val="nil"/>
              <w:right w:val="nil"/>
            </w:tcBorders>
            <w:shd w:val="clear" w:color="auto" w:fill="auto"/>
            <w:noWrap/>
            <w:vAlign w:val="bottom"/>
            <w:hideMark/>
          </w:tcPr>
          <w:p w14:paraId="03BD76AD" w14:textId="77777777" w:rsidR="00F5769B" w:rsidRPr="00C07E62" w:rsidRDefault="00F5769B" w:rsidP="00F5769B">
            <w:pPr>
              <w:spacing w:after="0" w:line="240" w:lineRule="auto"/>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 xml:space="preserve">        2) + Raise AA share to 15%</w:t>
            </w:r>
          </w:p>
        </w:tc>
        <w:tc>
          <w:tcPr>
            <w:tcW w:w="2189" w:type="dxa"/>
            <w:tcBorders>
              <w:top w:val="nil"/>
              <w:left w:val="nil"/>
              <w:bottom w:val="nil"/>
              <w:right w:val="nil"/>
            </w:tcBorders>
            <w:shd w:val="clear" w:color="auto" w:fill="auto"/>
            <w:noWrap/>
            <w:vAlign w:val="bottom"/>
            <w:hideMark/>
          </w:tcPr>
          <w:p w14:paraId="167E8585" w14:textId="2020DA28" w:rsidR="00F5769B" w:rsidRPr="00F5769B" w:rsidRDefault="00F5769B" w:rsidP="00F5769B">
            <w:pPr>
              <w:spacing w:after="0" w:line="240" w:lineRule="auto"/>
              <w:jc w:val="center"/>
              <w:rPr>
                <w:rFonts w:ascii="Times New Roman" w:eastAsia="Times New Roman" w:hAnsi="Times New Roman" w:cs="Times New Roman"/>
                <w:color w:val="000000"/>
                <w:sz w:val="24"/>
                <w:szCs w:val="24"/>
              </w:rPr>
            </w:pPr>
            <w:r w:rsidRPr="00F5769B">
              <w:rPr>
                <w:rFonts w:ascii="Times New Roman" w:hAnsi="Times New Roman" w:cs="Times New Roman"/>
                <w:color w:val="000000"/>
                <w:sz w:val="24"/>
                <w:szCs w:val="24"/>
              </w:rPr>
              <w:t>12.46%</w:t>
            </w:r>
          </w:p>
        </w:tc>
        <w:tc>
          <w:tcPr>
            <w:tcW w:w="2189" w:type="dxa"/>
            <w:tcBorders>
              <w:top w:val="nil"/>
              <w:left w:val="nil"/>
              <w:bottom w:val="nil"/>
              <w:right w:val="nil"/>
            </w:tcBorders>
            <w:shd w:val="clear" w:color="auto" w:fill="auto"/>
            <w:noWrap/>
            <w:vAlign w:val="bottom"/>
            <w:hideMark/>
          </w:tcPr>
          <w:p w14:paraId="0ED4FB6A" w14:textId="5AEC50C6" w:rsidR="00F5769B" w:rsidRPr="00F5769B" w:rsidRDefault="00F5769B" w:rsidP="00F5769B">
            <w:pPr>
              <w:spacing w:after="0" w:line="240" w:lineRule="auto"/>
              <w:jc w:val="center"/>
              <w:rPr>
                <w:rFonts w:ascii="Times New Roman" w:eastAsia="Times New Roman" w:hAnsi="Times New Roman" w:cs="Times New Roman"/>
                <w:color w:val="000000"/>
                <w:sz w:val="24"/>
                <w:szCs w:val="24"/>
              </w:rPr>
            </w:pPr>
            <w:r w:rsidRPr="00F5769B">
              <w:rPr>
                <w:rFonts w:ascii="Times New Roman" w:hAnsi="Times New Roman" w:cs="Times New Roman"/>
                <w:color w:val="000000"/>
                <w:sz w:val="24"/>
                <w:szCs w:val="24"/>
              </w:rPr>
              <w:t>16.76%</w:t>
            </w:r>
          </w:p>
        </w:tc>
        <w:tc>
          <w:tcPr>
            <w:tcW w:w="2189" w:type="dxa"/>
            <w:tcBorders>
              <w:top w:val="nil"/>
              <w:left w:val="nil"/>
              <w:bottom w:val="nil"/>
              <w:right w:val="nil"/>
            </w:tcBorders>
            <w:shd w:val="clear" w:color="auto" w:fill="auto"/>
            <w:noWrap/>
            <w:vAlign w:val="bottom"/>
            <w:hideMark/>
          </w:tcPr>
          <w:p w14:paraId="1BBDB88C" w14:textId="544BB45C" w:rsidR="00F5769B" w:rsidRPr="00F5769B" w:rsidRDefault="00F5769B" w:rsidP="00F5769B">
            <w:pPr>
              <w:spacing w:after="0" w:line="240" w:lineRule="auto"/>
              <w:jc w:val="center"/>
              <w:rPr>
                <w:rFonts w:ascii="Times New Roman" w:eastAsia="Times New Roman" w:hAnsi="Times New Roman" w:cs="Times New Roman"/>
                <w:color w:val="000000"/>
                <w:sz w:val="24"/>
                <w:szCs w:val="24"/>
              </w:rPr>
            </w:pPr>
            <w:r w:rsidRPr="00F5769B">
              <w:rPr>
                <w:rFonts w:ascii="Times New Roman" w:hAnsi="Times New Roman" w:cs="Times New Roman"/>
                <w:color w:val="000000"/>
                <w:sz w:val="24"/>
                <w:szCs w:val="24"/>
              </w:rPr>
              <w:t>22.62%</w:t>
            </w:r>
          </w:p>
        </w:tc>
        <w:tc>
          <w:tcPr>
            <w:tcW w:w="2190" w:type="dxa"/>
            <w:tcBorders>
              <w:top w:val="nil"/>
              <w:left w:val="nil"/>
              <w:bottom w:val="nil"/>
              <w:right w:val="nil"/>
            </w:tcBorders>
            <w:shd w:val="clear" w:color="auto" w:fill="auto"/>
            <w:noWrap/>
            <w:vAlign w:val="bottom"/>
            <w:hideMark/>
          </w:tcPr>
          <w:p w14:paraId="585D9EB0" w14:textId="45F17688" w:rsidR="00F5769B" w:rsidRPr="00F5769B" w:rsidRDefault="00F5769B" w:rsidP="00F5769B">
            <w:pPr>
              <w:spacing w:after="0" w:line="240" w:lineRule="auto"/>
              <w:jc w:val="center"/>
              <w:rPr>
                <w:rFonts w:ascii="Times New Roman" w:eastAsia="Times New Roman" w:hAnsi="Times New Roman" w:cs="Times New Roman"/>
                <w:color w:val="000000"/>
                <w:sz w:val="24"/>
                <w:szCs w:val="24"/>
              </w:rPr>
            </w:pPr>
            <w:r w:rsidRPr="00F5769B">
              <w:rPr>
                <w:rFonts w:ascii="Times New Roman" w:hAnsi="Times New Roman" w:cs="Times New Roman"/>
                <w:color w:val="000000"/>
                <w:sz w:val="24"/>
                <w:szCs w:val="24"/>
              </w:rPr>
              <w:t>29.21%</w:t>
            </w:r>
          </w:p>
        </w:tc>
      </w:tr>
      <w:tr w:rsidR="00F5769B" w:rsidRPr="00C07E62" w14:paraId="31F74478" w14:textId="77777777" w:rsidTr="0001364B">
        <w:trPr>
          <w:trHeight w:val="280"/>
          <w:jc w:val="center"/>
        </w:trPr>
        <w:tc>
          <w:tcPr>
            <w:tcW w:w="4203" w:type="dxa"/>
            <w:tcBorders>
              <w:top w:val="nil"/>
              <w:left w:val="nil"/>
              <w:bottom w:val="nil"/>
              <w:right w:val="nil"/>
            </w:tcBorders>
            <w:shd w:val="clear" w:color="auto" w:fill="auto"/>
            <w:noWrap/>
            <w:vAlign w:val="bottom"/>
            <w:hideMark/>
          </w:tcPr>
          <w:p w14:paraId="2AFEF2DD" w14:textId="77777777" w:rsidR="00F5769B" w:rsidRPr="00C07E62" w:rsidRDefault="00F5769B" w:rsidP="00F5769B">
            <w:pPr>
              <w:spacing w:after="0" w:line="240" w:lineRule="auto"/>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 xml:space="preserve">        3) 60% BA share, 20% AA share</w:t>
            </w:r>
          </w:p>
        </w:tc>
        <w:tc>
          <w:tcPr>
            <w:tcW w:w="2189" w:type="dxa"/>
            <w:tcBorders>
              <w:top w:val="nil"/>
              <w:left w:val="nil"/>
              <w:bottom w:val="nil"/>
              <w:right w:val="nil"/>
            </w:tcBorders>
            <w:shd w:val="clear" w:color="auto" w:fill="auto"/>
            <w:noWrap/>
            <w:vAlign w:val="bottom"/>
            <w:hideMark/>
          </w:tcPr>
          <w:p w14:paraId="11B7DD2F" w14:textId="1CF1DF52" w:rsidR="00F5769B" w:rsidRPr="00F5769B" w:rsidRDefault="00F5769B" w:rsidP="00F5769B">
            <w:pPr>
              <w:spacing w:after="0" w:line="240" w:lineRule="auto"/>
              <w:jc w:val="center"/>
              <w:rPr>
                <w:rFonts w:ascii="Times New Roman" w:eastAsia="Times New Roman" w:hAnsi="Times New Roman" w:cs="Times New Roman"/>
                <w:color w:val="000000"/>
                <w:sz w:val="24"/>
                <w:szCs w:val="24"/>
              </w:rPr>
            </w:pPr>
            <w:r w:rsidRPr="00F5769B">
              <w:rPr>
                <w:rFonts w:ascii="Times New Roman" w:hAnsi="Times New Roman" w:cs="Times New Roman"/>
                <w:color w:val="000000"/>
                <w:sz w:val="24"/>
                <w:szCs w:val="24"/>
              </w:rPr>
              <w:t>10.95%</w:t>
            </w:r>
          </w:p>
        </w:tc>
        <w:tc>
          <w:tcPr>
            <w:tcW w:w="2189" w:type="dxa"/>
            <w:tcBorders>
              <w:top w:val="nil"/>
              <w:left w:val="nil"/>
              <w:bottom w:val="nil"/>
              <w:right w:val="nil"/>
            </w:tcBorders>
            <w:shd w:val="clear" w:color="auto" w:fill="auto"/>
            <w:noWrap/>
            <w:vAlign w:val="bottom"/>
            <w:hideMark/>
          </w:tcPr>
          <w:p w14:paraId="55ACFFD5" w14:textId="57C225AA" w:rsidR="00F5769B" w:rsidRPr="00F5769B" w:rsidRDefault="00F5769B" w:rsidP="00F5769B">
            <w:pPr>
              <w:spacing w:after="0" w:line="240" w:lineRule="auto"/>
              <w:jc w:val="center"/>
              <w:rPr>
                <w:rFonts w:ascii="Times New Roman" w:eastAsia="Times New Roman" w:hAnsi="Times New Roman" w:cs="Times New Roman"/>
                <w:color w:val="000000"/>
                <w:sz w:val="24"/>
                <w:szCs w:val="24"/>
              </w:rPr>
            </w:pPr>
            <w:r w:rsidRPr="00F5769B">
              <w:rPr>
                <w:rFonts w:ascii="Times New Roman" w:hAnsi="Times New Roman" w:cs="Times New Roman"/>
                <w:color w:val="000000"/>
                <w:sz w:val="24"/>
                <w:szCs w:val="24"/>
              </w:rPr>
              <w:t>14.82%</w:t>
            </w:r>
          </w:p>
        </w:tc>
        <w:tc>
          <w:tcPr>
            <w:tcW w:w="2189" w:type="dxa"/>
            <w:tcBorders>
              <w:top w:val="nil"/>
              <w:left w:val="nil"/>
              <w:bottom w:val="nil"/>
              <w:right w:val="nil"/>
            </w:tcBorders>
            <w:shd w:val="clear" w:color="auto" w:fill="auto"/>
            <w:noWrap/>
            <w:vAlign w:val="bottom"/>
            <w:hideMark/>
          </w:tcPr>
          <w:p w14:paraId="68DF6B37" w14:textId="00F0E9F2" w:rsidR="00F5769B" w:rsidRPr="00F5769B" w:rsidRDefault="00F5769B" w:rsidP="00F5769B">
            <w:pPr>
              <w:spacing w:after="0" w:line="240" w:lineRule="auto"/>
              <w:jc w:val="center"/>
              <w:rPr>
                <w:rFonts w:ascii="Times New Roman" w:eastAsia="Times New Roman" w:hAnsi="Times New Roman" w:cs="Times New Roman"/>
                <w:color w:val="000000"/>
                <w:sz w:val="24"/>
                <w:szCs w:val="24"/>
              </w:rPr>
            </w:pPr>
            <w:r w:rsidRPr="00F5769B">
              <w:rPr>
                <w:rFonts w:ascii="Times New Roman" w:hAnsi="Times New Roman" w:cs="Times New Roman"/>
                <w:color w:val="000000"/>
                <w:sz w:val="24"/>
                <w:szCs w:val="24"/>
              </w:rPr>
              <w:t>20.30%</w:t>
            </w:r>
          </w:p>
        </w:tc>
        <w:tc>
          <w:tcPr>
            <w:tcW w:w="2190" w:type="dxa"/>
            <w:tcBorders>
              <w:top w:val="nil"/>
              <w:left w:val="nil"/>
              <w:bottom w:val="nil"/>
              <w:right w:val="nil"/>
            </w:tcBorders>
            <w:shd w:val="clear" w:color="auto" w:fill="auto"/>
            <w:noWrap/>
            <w:vAlign w:val="bottom"/>
            <w:hideMark/>
          </w:tcPr>
          <w:p w14:paraId="5E20F8D7" w14:textId="32312931" w:rsidR="00F5769B" w:rsidRPr="00F5769B" w:rsidRDefault="00F5769B" w:rsidP="00F5769B">
            <w:pPr>
              <w:spacing w:after="0" w:line="240" w:lineRule="auto"/>
              <w:jc w:val="center"/>
              <w:rPr>
                <w:rFonts w:ascii="Times New Roman" w:eastAsia="Times New Roman" w:hAnsi="Times New Roman" w:cs="Times New Roman"/>
                <w:color w:val="000000"/>
                <w:sz w:val="24"/>
                <w:szCs w:val="24"/>
              </w:rPr>
            </w:pPr>
            <w:r w:rsidRPr="00F5769B">
              <w:rPr>
                <w:rFonts w:ascii="Times New Roman" w:hAnsi="Times New Roman" w:cs="Times New Roman"/>
                <w:color w:val="000000"/>
                <w:sz w:val="24"/>
                <w:szCs w:val="24"/>
              </w:rPr>
              <w:t>26.71%</w:t>
            </w:r>
          </w:p>
        </w:tc>
      </w:tr>
      <w:tr w:rsidR="00420C9A" w:rsidRPr="00C07E62" w14:paraId="37C2C7D6" w14:textId="77777777" w:rsidTr="00C07E62">
        <w:trPr>
          <w:trHeight w:val="576"/>
          <w:jc w:val="center"/>
        </w:trPr>
        <w:tc>
          <w:tcPr>
            <w:tcW w:w="4203" w:type="dxa"/>
            <w:tcBorders>
              <w:top w:val="nil"/>
              <w:left w:val="nil"/>
              <w:bottom w:val="nil"/>
              <w:right w:val="nil"/>
            </w:tcBorders>
            <w:shd w:val="clear" w:color="auto" w:fill="auto"/>
            <w:noWrap/>
            <w:vAlign w:val="bottom"/>
            <w:hideMark/>
          </w:tcPr>
          <w:p w14:paraId="760A8CCD" w14:textId="77777777" w:rsidR="00420C9A" w:rsidRPr="00C07E62" w:rsidRDefault="00420C9A" w:rsidP="00420C9A">
            <w:pPr>
              <w:spacing w:after="0" w:line="240" w:lineRule="auto"/>
              <w:rPr>
                <w:rFonts w:ascii="Times New Roman" w:eastAsia="Times New Roman" w:hAnsi="Times New Roman" w:cs="Times New Roman"/>
                <w:i/>
                <w:color w:val="000000"/>
                <w:sz w:val="24"/>
                <w:szCs w:val="24"/>
              </w:rPr>
            </w:pPr>
            <w:r w:rsidRPr="00C07E62">
              <w:rPr>
                <w:rFonts w:ascii="Times New Roman" w:eastAsia="Times New Roman" w:hAnsi="Times New Roman" w:cs="Times New Roman"/>
                <w:color w:val="000000"/>
                <w:sz w:val="24"/>
                <w:szCs w:val="24"/>
              </w:rPr>
              <w:t xml:space="preserve">    </w:t>
            </w:r>
            <w:r w:rsidRPr="00C07E62">
              <w:rPr>
                <w:rFonts w:ascii="Times New Roman" w:eastAsia="Times New Roman" w:hAnsi="Times New Roman" w:cs="Times New Roman"/>
                <w:i/>
                <w:color w:val="000000"/>
                <w:sz w:val="24"/>
                <w:szCs w:val="24"/>
              </w:rPr>
              <w:t>Causal Parameter Method</w:t>
            </w:r>
          </w:p>
        </w:tc>
        <w:tc>
          <w:tcPr>
            <w:tcW w:w="2189" w:type="dxa"/>
            <w:tcBorders>
              <w:top w:val="nil"/>
              <w:left w:val="nil"/>
              <w:bottom w:val="nil"/>
              <w:right w:val="nil"/>
            </w:tcBorders>
            <w:shd w:val="clear" w:color="auto" w:fill="auto"/>
            <w:noWrap/>
            <w:vAlign w:val="bottom"/>
            <w:hideMark/>
          </w:tcPr>
          <w:p w14:paraId="0DC8932E" w14:textId="77777777" w:rsidR="00420C9A" w:rsidRPr="00420C9A" w:rsidRDefault="00420C9A" w:rsidP="00420C9A">
            <w:pPr>
              <w:spacing w:after="0" w:line="240" w:lineRule="auto"/>
              <w:jc w:val="center"/>
              <w:rPr>
                <w:rFonts w:ascii="Times New Roman" w:eastAsia="Times New Roman" w:hAnsi="Times New Roman" w:cs="Times New Roman"/>
                <w:color w:val="000000"/>
                <w:sz w:val="24"/>
                <w:szCs w:val="24"/>
              </w:rPr>
            </w:pPr>
          </w:p>
        </w:tc>
        <w:tc>
          <w:tcPr>
            <w:tcW w:w="2189" w:type="dxa"/>
            <w:tcBorders>
              <w:top w:val="nil"/>
              <w:left w:val="nil"/>
              <w:bottom w:val="nil"/>
              <w:right w:val="nil"/>
            </w:tcBorders>
            <w:shd w:val="clear" w:color="auto" w:fill="auto"/>
            <w:noWrap/>
            <w:vAlign w:val="bottom"/>
            <w:hideMark/>
          </w:tcPr>
          <w:p w14:paraId="62C3052E" w14:textId="77777777" w:rsidR="00420C9A" w:rsidRPr="00420C9A" w:rsidRDefault="00420C9A" w:rsidP="00420C9A">
            <w:pPr>
              <w:spacing w:after="0" w:line="240" w:lineRule="auto"/>
              <w:jc w:val="center"/>
              <w:rPr>
                <w:rFonts w:ascii="Times New Roman" w:eastAsia="Times New Roman" w:hAnsi="Times New Roman" w:cs="Times New Roman"/>
                <w:sz w:val="24"/>
                <w:szCs w:val="24"/>
              </w:rPr>
            </w:pPr>
          </w:p>
        </w:tc>
        <w:tc>
          <w:tcPr>
            <w:tcW w:w="2189" w:type="dxa"/>
            <w:tcBorders>
              <w:top w:val="nil"/>
              <w:left w:val="nil"/>
              <w:bottom w:val="nil"/>
              <w:right w:val="nil"/>
            </w:tcBorders>
            <w:shd w:val="clear" w:color="auto" w:fill="auto"/>
            <w:noWrap/>
            <w:vAlign w:val="bottom"/>
            <w:hideMark/>
          </w:tcPr>
          <w:p w14:paraId="6EAA9BC3" w14:textId="77777777" w:rsidR="00420C9A" w:rsidRPr="00420C9A" w:rsidRDefault="00420C9A" w:rsidP="00420C9A">
            <w:pPr>
              <w:spacing w:after="0" w:line="240" w:lineRule="auto"/>
              <w:jc w:val="center"/>
              <w:rPr>
                <w:rFonts w:ascii="Times New Roman" w:eastAsia="Times New Roman" w:hAnsi="Times New Roman" w:cs="Times New Roman"/>
                <w:sz w:val="24"/>
                <w:szCs w:val="24"/>
              </w:rPr>
            </w:pPr>
          </w:p>
        </w:tc>
        <w:tc>
          <w:tcPr>
            <w:tcW w:w="2190" w:type="dxa"/>
            <w:tcBorders>
              <w:top w:val="nil"/>
              <w:left w:val="nil"/>
              <w:bottom w:val="nil"/>
              <w:right w:val="nil"/>
            </w:tcBorders>
            <w:shd w:val="clear" w:color="auto" w:fill="auto"/>
            <w:noWrap/>
            <w:vAlign w:val="bottom"/>
            <w:hideMark/>
          </w:tcPr>
          <w:p w14:paraId="222670D1" w14:textId="77777777" w:rsidR="00420C9A" w:rsidRPr="00420C9A" w:rsidRDefault="00420C9A" w:rsidP="00420C9A">
            <w:pPr>
              <w:spacing w:after="0" w:line="240" w:lineRule="auto"/>
              <w:jc w:val="center"/>
              <w:rPr>
                <w:rFonts w:ascii="Times New Roman" w:eastAsia="Times New Roman" w:hAnsi="Times New Roman" w:cs="Times New Roman"/>
                <w:sz w:val="24"/>
                <w:szCs w:val="24"/>
              </w:rPr>
            </w:pPr>
          </w:p>
        </w:tc>
      </w:tr>
      <w:tr w:rsidR="00F5769B" w:rsidRPr="00C07E62" w14:paraId="69AE154C" w14:textId="77777777" w:rsidTr="009049D1">
        <w:trPr>
          <w:trHeight w:val="280"/>
          <w:jc w:val="center"/>
        </w:trPr>
        <w:tc>
          <w:tcPr>
            <w:tcW w:w="4203" w:type="dxa"/>
            <w:tcBorders>
              <w:top w:val="nil"/>
              <w:left w:val="nil"/>
              <w:bottom w:val="nil"/>
              <w:right w:val="nil"/>
            </w:tcBorders>
            <w:shd w:val="clear" w:color="auto" w:fill="auto"/>
            <w:noWrap/>
            <w:vAlign w:val="bottom"/>
            <w:hideMark/>
          </w:tcPr>
          <w:p w14:paraId="46792247" w14:textId="77777777" w:rsidR="00F5769B" w:rsidRPr="00C07E62" w:rsidRDefault="00F5769B" w:rsidP="00F5769B">
            <w:pPr>
              <w:spacing w:after="0" w:line="240" w:lineRule="auto"/>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 xml:space="preserve">        1) Raise BA share to 50%</w:t>
            </w:r>
          </w:p>
        </w:tc>
        <w:tc>
          <w:tcPr>
            <w:tcW w:w="2189" w:type="dxa"/>
            <w:tcBorders>
              <w:top w:val="nil"/>
              <w:left w:val="nil"/>
              <w:bottom w:val="nil"/>
              <w:right w:val="nil"/>
            </w:tcBorders>
            <w:shd w:val="clear" w:color="auto" w:fill="auto"/>
            <w:noWrap/>
            <w:vAlign w:val="bottom"/>
            <w:hideMark/>
          </w:tcPr>
          <w:p w14:paraId="3024C6D9" w14:textId="33DBF004" w:rsidR="00F5769B" w:rsidRPr="00F5769B" w:rsidRDefault="00F5769B" w:rsidP="00F5769B">
            <w:pPr>
              <w:spacing w:after="0" w:line="240" w:lineRule="auto"/>
              <w:jc w:val="center"/>
              <w:rPr>
                <w:rFonts w:ascii="Times New Roman" w:eastAsia="Times New Roman" w:hAnsi="Times New Roman" w:cs="Times New Roman"/>
                <w:color w:val="000000"/>
                <w:sz w:val="24"/>
                <w:szCs w:val="24"/>
              </w:rPr>
            </w:pPr>
            <w:r w:rsidRPr="00F5769B">
              <w:rPr>
                <w:rFonts w:ascii="Times New Roman" w:hAnsi="Times New Roman" w:cs="Times New Roman"/>
                <w:color w:val="000000"/>
                <w:sz w:val="24"/>
                <w:szCs w:val="24"/>
              </w:rPr>
              <w:t>14.21%</w:t>
            </w:r>
          </w:p>
        </w:tc>
        <w:tc>
          <w:tcPr>
            <w:tcW w:w="2189" w:type="dxa"/>
            <w:tcBorders>
              <w:top w:val="nil"/>
              <w:left w:val="nil"/>
              <w:bottom w:val="nil"/>
              <w:right w:val="nil"/>
            </w:tcBorders>
            <w:shd w:val="clear" w:color="auto" w:fill="auto"/>
            <w:noWrap/>
            <w:vAlign w:val="bottom"/>
            <w:hideMark/>
          </w:tcPr>
          <w:p w14:paraId="0DED507F" w14:textId="16200398" w:rsidR="00F5769B" w:rsidRPr="00F5769B" w:rsidRDefault="00F5769B" w:rsidP="00F5769B">
            <w:pPr>
              <w:spacing w:after="0" w:line="240" w:lineRule="auto"/>
              <w:jc w:val="center"/>
              <w:rPr>
                <w:rFonts w:ascii="Times New Roman" w:eastAsia="Times New Roman" w:hAnsi="Times New Roman" w:cs="Times New Roman"/>
                <w:color w:val="000000"/>
                <w:sz w:val="24"/>
                <w:szCs w:val="24"/>
              </w:rPr>
            </w:pPr>
            <w:r w:rsidRPr="00F5769B">
              <w:rPr>
                <w:rFonts w:ascii="Times New Roman" w:hAnsi="Times New Roman" w:cs="Times New Roman"/>
                <w:color w:val="000000"/>
                <w:sz w:val="24"/>
                <w:szCs w:val="24"/>
              </w:rPr>
              <w:t>18.63%</w:t>
            </w:r>
          </w:p>
        </w:tc>
        <w:tc>
          <w:tcPr>
            <w:tcW w:w="2189" w:type="dxa"/>
            <w:tcBorders>
              <w:top w:val="nil"/>
              <w:left w:val="nil"/>
              <w:bottom w:val="nil"/>
              <w:right w:val="nil"/>
            </w:tcBorders>
            <w:shd w:val="clear" w:color="auto" w:fill="auto"/>
            <w:noWrap/>
            <w:vAlign w:val="bottom"/>
            <w:hideMark/>
          </w:tcPr>
          <w:p w14:paraId="6435CD8F" w14:textId="79D0A7B6" w:rsidR="00F5769B" w:rsidRPr="00F5769B" w:rsidRDefault="00F5769B" w:rsidP="00F5769B">
            <w:pPr>
              <w:spacing w:after="0" w:line="240" w:lineRule="auto"/>
              <w:jc w:val="center"/>
              <w:rPr>
                <w:rFonts w:ascii="Times New Roman" w:eastAsia="Times New Roman" w:hAnsi="Times New Roman" w:cs="Times New Roman"/>
                <w:color w:val="000000"/>
                <w:sz w:val="24"/>
                <w:szCs w:val="24"/>
              </w:rPr>
            </w:pPr>
            <w:r w:rsidRPr="00F5769B">
              <w:rPr>
                <w:rFonts w:ascii="Times New Roman" w:hAnsi="Times New Roman" w:cs="Times New Roman"/>
                <w:color w:val="000000"/>
                <w:sz w:val="24"/>
                <w:szCs w:val="24"/>
              </w:rPr>
              <w:t>24.72%</w:t>
            </w:r>
          </w:p>
        </w:tc>
        <w:tc>
          <w:tcPr>
            <w:tcW w:w="2190" w:type="dxa"/>
            <w:tcBorders>
              <w:top w:val="nil"/>
              <w:left w:val="nil"/>
              <w:bottom w:val="nil"/>
              <w:right w:val="nil"/>
            </w:tcBorders>
            <w:shd w:val="clear" w:color="auto" w:fill="auto"/>
            <w:noWrap/>
            <w:vAlign w:val="bottom"/>
            <w:hideMark/>
          </w:tcPr>
          <w:p w14:paraId="7F1BD457" w14:textId="3C1FE9D4" w:rsidR="00F5769B" w:rsidRPr="00F5769B" w:rsidRDefault="00F5769B" w:rsidP="00F5769B">
            <w:pPr>
              <w:spacing w:after="0" w:line="240" w:lineRule="auto"/>
              <w:jc w:val="center"/>
              <w:rPr>
                <w:rFonts w:ascii="Times New Roman" w:eastAsia="Times New Roman" w:hAnsi="Times New Roman" w:cs="Times New Roman"/>
                <w:color w:val="000000"/>
                <w:sz w:val="24"/>
                <w:szCs w:val="24"/>
              </w:rPr>
            </w:pPr>
            <w:r w:rsidRPr="00F5769B">
              <w:rPr>
                <w:rFonts w:ascii="Times New Roman" w:hAnsi="Times New Roman" w:cs="Times New Roman"/>
                <w:color w:val="000000"/>
                <w:sz w:val="24"/>
                <w:szCs w:val="24"/>
              </w:rPr>
              <w:t>31.45%</w:t>
            </w:r>
          </w:p>
        </w:tc>
      </w:tr>
      <w:tr w:rsidR="00F5769B" w:rsidRPr="00C07E62" w14:paraId="6616E3D0" w14:textId="77777777" w:rsidTr="009049D1">
        <w:trPr>
          <w:trHeight w:val="280"/>
          <w:jc w:val="center"/>
        </w:trPr>
        <w:tc>
          <w:tcPr>
            <w:tcW w:w="4203" w:type="dxa"/>
            <w:tcBorders>
              <w:top w:val="nil"/>
              <w:left w:val="nil"/>
              <w:bottom w:val="nil"/>
              <w:right w:val="nil"/>
            </w:tcBorders>
            <w:shd w:val="clear" w:color="auto" w:fill="auto"/>
            <w:noWrap/>
            <w:vAlign w:val="bottom"/>
            <w:hideMark/>
          </w:tcPr>
          <w:p w14:paraId="56740303" w14:textId="77777777" w:rsidR="00F5769B" w:rsidRPr="00C07E62" w:rsidRDefault="00F5769B" w:rsidP="00F5769B">
            <w:pPr>
              <w:spacing w:after="0" w:line="240" w:lineRule="auto"/>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 xml:space="preserve">        2) + Raise AA share to 15%</w:t>
            </w:r>
          </w:p>
        </w:tc>
        <w:tc>
          <w:tcPr>
            <w:tcW w:w="2189" w:type="dxa"/>
            <w:tcBorders>
              <w:top w:val="nil"/>
              <w:left w:val="nil"/>
              <w:bottom w:val="nil"/>
              <w:right w:val="nil"/>
            </w:tcBorders>
            <w:shd w:val="clear" w:color="auto" w:fill="auto"/>
            <w:noWrap/>
            <w:vAlign w:val="bottom"/>
            <w:hideMark/>
          </w:tcPr>
          <w:p w14:paraId="3BA47457" w14:textId="36514A11" w:rsidR="00F5769B" w:rsidRPr="00F5769B" w:rsidRDefault="00F5769B" w:rsidP="00F5769B">
            <w:pPr>
              <w:spacing w:after="0" w:line="240" w:lineRule="auto"/>
              <w:jc w:val="center"/>
              <w:rPr>
                <w:rFonts w:ascii="Times New Roman" w:eastAsia="Times New Roman" w:hAnsi="Times New Roman" w:cs="Times New Roman"/>
                <w:color w:val="000000"/>
                <w:sz w:val="24"/>
                <w:szCs w:val="24"/>
              </w:rPr>
            </w:pPr>
            <w:r w:rsidRPr="00F5769B">
              <w:rPr>
                <w:rFonts w:ascii="Times New Roman" w:hAnsi="Times New Roman" w:cs="Times New Roman"/>
                <w:color w:val="000000"/>
                <w:sz w:val="24"/>
                <w:szCs w:val="24"/>
              </w:rPr>
              <w:t>14.08%</w:t>
            </w:r>
          </w:p>
        </w:tc>
        <w:tc>
          <w:tcPr>
            <w:tcW w:w="2189" w:type="dxa"/>
            <w:tcBorders>
              <w:top w:val="nil"/>
              <w:left w:val="nil"/>
              <w:bottom w:val="nil"/>
              <w:right w:val="nil"/>
            </w:tcBorders>
            <w:shd w:val="clear" w:color="auto" w:fill="auto"/>
            <w:noWrap/>
            <w:vAlign w:val="bottom"/>
            <w:hideMark/>
          </w:tcPr>
          <w:p w14:paraId="2F0FF6D0" w14:textId="15B7D03A" w:rsidR="00F5769B" w:rsidRPr="00F5769B" w:rsidRDefault="00F5769B" w:rsidP="00F5769B">
            <w:pPr>
              <w:spacing w:after="0" w:line="240" w:lineRule="auto"/>
              <w:jc w:val="center"/>
              <w:rPr>
                <w:rFonts w:ascii="Times New Roman" w:eastAsia="Times New Roman" w:hAnsi="Times New Roman" w:cs="Times New Roman"/>
                <w:color w:val="000000"/>
                <w:sz w:val="24"/>
                <w:szCs w:val="24"/>
              </w:rPr>
            </w:pPr>
            <w:r w:rsidRPr="00F5769B">
              <w:rPr>
                <w:rFonts w:ascii="Times New Roman" w:hAnsi="Times New Roman" w:cs="Times New Roman"/>
                <w:color w:val="000000"/>
                <w:sz w:val="24"/>
                <w:szCs w:val="24"/>
              </w:rPr>
              <w:t>18.37%</w:t>
            </w:r>
          </w:p>
        </w:tc>
        <w:tc>
          <w:tcPr>
            <w:tcW w:w="2189" w:type="dxa"/>
            <w:tcBorders>
              <w:top w:val="nil"/>
              <w:left w:val="nil"/>
              <w:bottom w:val="nil"/>
              <w:right w:val="nil"/>
            </w:tcBorders>
            <w:shd w:val="clear" w:color="auto" w:fill="auto"/>
            <w:noWrap/>
            <w:vAlign w:val="bottom"/>
            <w:hideMark/>
          </w:tcPr>
          <w:p w14:paraId="127C4ECD" w14:textId="118A460F" w:rsidR="00F5769B" w:rsidRPr="00F5769B" w:rsidRDefault="00F5769B" w:rsidP="00F5769B">
            <w:pPr>
              <w:spacing w:after="0" w:line="240" w:lineRule="auto"/>
              <w:jc w:val="center"/>
              <w:rPr>
                <w:rFonts w:ascii="Times New Roman" w:eastAsia="Times New Roman" w:hAnsi="Times New Roman" w:cs="Times New Roman"/>
                <w:color w:val="000000"/>
                <w:sz w:val="24"/>
                <w:szCs w:val="24"/>
              </w:rPr>
            </w:pPr>
            <w:r w:rsidRPr="00F5769B">
              <w:rPr>
                <w:rFonts w:ascii="Times New Roman" w:hAnsi="Times New Roman" w:cs="Times New Roman"/>
                <w:color w:val="000000"/>
                <w:sz w:val="24"/>
                <w:szCs w:val="24"/>
              </w:rPr>
              <w:t>24.22%</w:t>
            </w:r>
          </w:p>
        </w:tc>
        <w:tc>
          <w:tcPr>
            <w:tcW w:w="2190" w:type="dxa"/>
            <w:tcBorders>
              <w:top w:val="nil"/>
              <w:left w:val="nil"/>
              <w:bottom w:val="nil"/>
              <w:right w:val="nil"/>
            </w:tcBorders>
            <w:shd w:val="clear" w:color="auto" w:fill="auto"/>
            <w:noWrap/>
            <w:vAlign w:val="bottom"/>
            <w:hideMark/>
          </w:tcPr>
          <w:p w14:paraId="45E7BBA8" w14:textId="3E6FC2C2" w:rsidR="00F5769B" w:rsidRPr="00F5769B" w:rsidRDefault="00F5769B" w:rsidP="00F5769B">
            <w:pPr>
              <w:spacing w:after="0" w:line="240" w:lineRule="auto"/>
              <w:jc w:val="center"/>
              <w:rPr>
                <w:rFonts w:ascii="Times New Roman" w:eastAsia="Times New Roman" w:hAnsi="Times New Roman" w:cs="Times New Roman"/>
                <w:color w:val="000000"/>
                <w:sz w:val="24"/>
                <w:szCs w:val="24"/>
              </w:rPr>
            </w:pPr>
            <w:r w:rsidRPr="00F5769B">
              <w:rPr>
                <w:rFonts w:ascii="Times New Roman" w:hAnsi="Times New Roman" w:cs="Times New Roman"/>
                <w:color w:val="000000"/>
                <w:sz w:val="24"/>
                <w:szCs w:val="24"/>
              </w:rPr>
              <w:t>30.91%</w:t>
            </w:r>
          </w:p>
        </w:tc>
      </w:tr>
      <w:tr w:rsidR="00F5769B" w:rsidRPr="00C07E62" w14:paraId="4C6EBFB0" w14:textId="77777777" w:rsidTr="009049D1">
        <w:trPr>
          <w:trHeight w:val="280"/>
          <w:jc w:val="center"/>
        </w:trPr>
        <w:tc>
          <w:tcPr>
            <w:tcW w:w="4203" w:type="dxa"/>
            <w:tcBorders>
              <w:top w:val="nil"/>
              <w:left w:val="nil"/>
              <w:bottom w:val="nil"/>
              <w:right w:val="nil"/>
            </w:tcBorders>
            <w:shd w:val="clear" w:color="auto" w:fill="auto"/>
            <w:noWrap/>
            <w:vAlign w:val="bottom"/>
            <w:hideMark/>
          </w:tcPr>
          <w:p w14:paraId="172E7CDB" w14:textId="77777777" w:rsidR="00F5769B" w:rsidRPr="00C07E62" w:rsidRDefault="00F5769B" w:rsidP="00F5769B">
            <w:pPr>
              <w:spacing w:after="0" w:line="240" w:lineRule="auto"/>
              <w:rPr>
                <w:rFonts w:ascii="Times New Roman" w:eastAsia="Times New Roman" w:hAnsi="Times New Roman" w:cs="Times New Roman"/>
                <w:color w:val="000000"/>
                <w:sz w:val="24"/>
                <w:szCs w:val="24"/>
              </w:rPr>
            </w:pPr>
            <w:r w:rsidRPr="00C07E62">
              <w:rPr>
                <w:rFonts w:ascii="Times New Roman" w:eastAsia="Times New Roman" w:hAnsi="Times New Roman" w:cs="Times New Roman"/>
                <w:color w:val="000000"/>
                <w:sz w:val="24"/>
                <w:szCs w:val="24"/>
              </w:rPr>
              <w:t xml:space="preserve">        3) 60% BA share, 20% AA share</w:t>
            </w:r>
          </w:p>
        </w:tc>
        <w:tc>
          <w:tcPr>
            <w:tcW w:w="2189" w:type="dxa"/>
            <w:tcBorders>
              <w:top w:val="nil"/>
              <w:left w:val="nil"/>
              <w:bottom w:val="nil"/>
              <w:right w:val="nil"/>
            </w:tcBorders>
            <w:shd w:val="clear" w:color="auto" w:fill="auto"/>
            <w:noWrap/>
            <w:vAlign w:val="bottom"/>
            <w:hideMark/>
          </w:tcPr>
          <w:p w14:paraId="6D788C50" w14:textId="7977617F" w:rsidR="00F5769B" w:rsidRPr="00F5769B" w:rsidRDefault="00F5769B" w:rsidP="00F5769B">
            <w:pPr>
              <w:spacing w:after="0" w:line="240" w:lineRule="auto"/>
              <w:jc w:val="center"/>
              <w:rPr>
                <w:rFonts w:ascii="Times New Roman" w:eastAsia="Times New Roman" w:hAnsi="Times New Roman" w:cs="Times New Roman"/>
                <w:color w:val="000000"/>
                <w:sz w:val="24"/>
                <w:szCs w:val="24"/>
              </w:rPr>
            </w:pPr>
            <w:r w:rsidRPr="00F5769B">
              <w:rPr>
                <w:rFonts w:ascii="Times New Roman" w:hAnsi="Times New Roman" w:cs="Times New Roman"/>
                <w:color w:val="000000"/>
                <w:sz w:val="24"/>
                <w:szCs w:val="24"/>
              </w:rPr>
              <w:t>13.95%</w:t>
            </w:r>
          </w:p>
        </w:tc>
        <w:tc>
          <w:tcPr>
            <w:tcW w:w="2189" w:type="dxa"/>
            <w:tcBorders>
              <w:top w:val="nil"/>
              <w:left w:val="nil"/>
              <w:bottom w:val="nil"/>
              <w:right w:val="nil"/>
            </w:tcBorders>
            <w:shd w:val="clear" w:color="auto" w:fill="auto"/>
            <w:noWrap/>
            <w:vAlign w:val="bottom"/>
            <w:hideMark/>
          </w:tcPr>
          <w:p w14:paraId="44ABC017" w14:textId="16DD7103" w:rsidR="00F5769B" w:rsidRPr="00F5769B" w:rsidRDefault="00F5769B" w:rsidP="00F5769B">
            <w:pPr>
              <w:spacing w:after="0" w:line="240" w:lineRule="auto"/>
              <w:jc w:val="center"/>
              <w:rPr>
                <w:rFonts w:ascii="Times New Roman" w:eastAsia="Times New Roman" w:hAnsi="Times New Roman" w:cs="Times New Roman"/>
                <w:color w:val="000000"/>
                <w:sz w:val="24"/>
                <w:szCs w:val="24"/>
              </w:rPr>
            </w:pPr>
            <w:r w:rsidRPr="00F5769B">
              <w:rPr>
                <w:rFonts w:ascii="Times New Roman" w:hAnsi="Times New Roman" w:cs="Times New Roman"/>
                <w:color w:val="000000"/>
                <w:sz w:val="24"/>
                <w:szCs w:val="24"/>
              </w:rPr>
              <w:t>17.89%</w:t>
            </w:r>
          </w:p>
        </w:tc>
        <w:tc>
          <w:tcPr>
            <w:tcW w:w="2189" w:type="dxa"/>
            <w:tcBorders>
              <w:top w:val="nil"/>
              <w:left w:val="nil"/>
              <w:bottom w:val="nil"/>
              <w:right w:val="nil"/>
            </w:tcBorders>
            <w:shd w:val="clear" w:color="auto" w:fill="auto"/>
            <w:noWrap/>
            <w:vAlign w:val="bottom"/>
            <w:hideMark/>
          </w:tcPr>
          <w:p w14:paraId="0BF502E8" w14:textId="221190C3" w:rsidR="00F5769B" w:rsidRPr="00F5769B" w:rsidRDefault="00F5769B" w:rsidP="00F5769B">
            <w:pPr>
              <w:spacing w:after="0" w:line="240" w:lineRule="auto"/>
              <w:jc w:val="center"/>
              <w:rPr>
                <w:rFonts w:ascii="Times New Roman" w:eastAsia="Times New Roman" w:hAnsi="Times New Roman" w:cs="Times New Roman"/>
                <w:color w:val="000000"/>
                <w:sz w:val="24"/>
                <w:szCs w:val="24"/>
              </w:rPr>
            </w:pPr>
            <w:r w:rsidRPr="00F5769B">
              <w:rPr>
                <w:rFonts w:ascii="Times New Roman" w:hAnsi="Times New Roman" w:cs="Times New Roman"/>
                <w:color w:val="000000"/>
                <w:sz w:val="24"/>
                <w:szCs w:val="24"/>
              </w:rPr>
              <w:t>23.34%</w:t>
            </w:r>
          </w:p>
        </w:tc>
        <w:tc>
          <w:tcPr>
            <w:tcW w:w="2190" w:type="dxa"/>
            <w:tcBorders>
              <w:top w:val="nil"/>
              <w:left w:val="nil"/>
              <w:bottom w:val="nil"/>
              <w:right w:val="nil"/>
            </w:tcBorders>
            <w:shd w:val="clear" w:color="auto" w:fill="auto"/>
            <w:noWrap/>
            <w:vAlign w:val="bottom"/>
            <w:hideMark/>
          </w:tcPr>
          <w:p w14:paraId="517D3BDF" w14:textId="5E49C97C" w:rsidR="00F5769B" w:rsidRPr="00F5769B" w:rsidRDefault="00F5769B" w:rsidP="00F5769B">
            <w:pPr>
              <w:spacing w:after="0" w:line="240" w:lineRule="auto"/>
              <w:jc w:val="center"/>
              <w:rPr>
                <w:rFonts w:ascii="Times New Roman" w:eastAsia="Times New Roman" w:hAnsi="Times New Roman" w:cs="Times New Roman"/>
                <w:color w:val="000000"/>
                <w:sz w:val="24"/>
                <w:szCs w:val="24"/>
              </w:rPr>
            </w:pPr>
            <w:r w:rsidRPr="00F5769B">
              <w:rPr>
                <w:rFonts w:ascii="Times New Roman" w:hAnsi="Times New Roman" w:cs="Times New Roman"/>
                <w:color w:val="000000"/>
                <w:sz w:val="24"/>
                <w:szCs w:val="24"/>
              </w:rPr>
              <w:t>29.67%</w:t>
            </w:r>
          </w:p>
        </w:tc>
      </w:tr>
      <w:tr w:rsidR="000F7C00" w:rsidRPr="00C07E62" w14:paraId="33D450F1" w14:textId="77777777" w:rsidTr="00211FA3">
        <w:trPr>
          <w:trHeight w:val="120"/>
          <w:jc w:val="center"/>
        </w:trPr>
        <w:tc>
          <w:tcPr>
            <w:tcW w:w="4203" w:type="dxa"/>
            <w:tcBorders>
              <w:top w:val="nil"/>
              <w:left w:val="nil"/>
              <w:bottom w:val="single" w:sz="4" w:space="0" w:color="auto"/>
              <w:right w:val="nil"/>
            </w:tcBorders>
            <w:shd w:val="clear" w:color="auto" w:fill="auto"/>
            <w:noWrap/>
            <w:vAlign w:val="bottom"/>
            <w:hideMark/>
          </w:tcPr>
          <w:p w14:paraId="4FBCAF6F" w14:textId="77777777" w:rsidR="000F7C00" w:rsidRPr="00C07E62" w:rsidRDefault="000F7C00" w:rsidP="00211FA3">
            <w:pPr>
              <w:spacing w:after="0" w:line="240" w:lineRule="auto"/>
              <w:jc w:val="right"/>
              <w:rPr>
                <w:rFonts w:ascii="Times New Roman" w:eastAsia="Times New Roman" w:hAnsi="Times New Roman" w:cs="Times New Roman"/>
                <w:color w:val="000000"/>
              </w:rPr>
            </w:pPr>
            <w:r w:rsidRPr="00C07E62">
              <w:rPr>
                <w:rFonts w:ascii="Times New Roman" w:eastAsia="Times New Roman" w:hAnsi="Times New Roman" w:cs="Times New Roman"/>
                <w:color w:val="000000"/>
              </w:rPr>
              <w:t> </w:t>
            </w:r>
          </w:p>
        </w:tc>
        <w:tc>
          <w:tcPr>
            <w:tcW w:w="2189" w:type="dxa"/>
            <w:tcBorders>
              <w:top w:val="nil"/>
              <w:left w:val="nil"/>
              <w:bottom w:val="single" w:sz="4" w:space="0" w:color="auto"/>
              <w:right w:val="nil"/>
            </w:tcBorders>
            <w:shd w:val="clear" w:color="auto" w:fill="auto"/>
            <w:noWrap/>
            <w:vAlign w:val="bottom"/>
            <w:hideMark/>
          </w:tcPr>
          <w:p w14:paraId="14A30FC4" w14:textId="77777777" w:rsidR="000F7C00" w:rsidRPr="00C07E62" w:rsidRDefault="000F7C00" w:rsidP="00211FA3">
            <w:pPr>
              <w:spacing w:after="0" w:line="240" w:lineRule="auto"/>
              <w:rPr>
                <w:rFonts w:ascii="Times New Roman" w:eastAsia="Times New Roman" w:hAnsi="Times New Roman" w:cs="Times New Roman"/>
                <w:color w:val="000000"/>
              </w:rPr>
            </w:pPr>
            <w:r w:rsidRPr="00C07E62">
              <w:rPr>
                <w:rFonts w:ascii="Times New Roman" w:eastAsia="Times New Roman" w:hAnsi="Times New Roman" w:cs="Times New Roman"/>
                <w:color w:val="000000"/>
              </w:rPr>
              <w:t> </w:t>
            </w:r>
          </w:p>
        </w:tc>
        <w:tc>
          <w:tcPr>
            <w:tcW w:w="2189" w:type="dxa"/>
            <w:tcBorders>
              <w:top w:val="nil"/>
              <w:left w:val="nil"/>
              <w:bottom w:val="single" w:sz="4" w:space="0" w:color="auto"/>
              <w:right w:val="nil"/>
            </w:tcBorders>
            <w:shd w:val="clear" w:color="auto" w:fill="auto"/>
            <w:noWrap/>
            <w:vAlign w:val="bottom"/>
            <w:hideMark/>
          </w:tcPr>
          <w:p w14:paraId="4EA08EE5" w14:textId="77777777" w:rsidR="000F7C00" w:rsidRPr="00C07E62" w:rsidRDefault="000F7C00" w:rsidP="00211FA3">
            <w:pPr>
              <w:spacing w:after="0" w:line="240" w:lineRule="auto"/>
              <w:rPr>
                <w:rFonts w:ascii="Times New Roman" w:eastAsia="Times New Roman" w:hAnsi="Times New Roman" w:cs="Times New Roman"/>
                <w:color w:val="000000"/>
              </w:rPr>
            </w:pPr>
            <w:r w:rsidRPr="00C07E62">
              <w:rPr>
                <w:rFonts w:ascii="Times New Roman" w:eastAsia="Times New Roman" w:hAnsi="Times New Roman" w:cs="Times New Roman"/>
                <w:color w:val="000000"/>
              </w:rPr>
              <w:t> </w:t>
            </w:r>
          </w:p>
        </w:tc>
        <w:tc>
          <w:tcPr>
            <w:tcW w:w="2189" w:type="dxa"/>
            <w:tcBorders>
              <w:top w:val="nil"/>
              <w:left w:val="nil"/>
              <w:bottom w:val="single" w:sz="4" w:space="0" w:color="auto"/>
              <w:right w:val="nil"/>
            </w:tcBorders>
            <w:shd w:val="clear" w:color="auto" w:fill="auto"/>
            <w:noWrap/>
            <w:vAlign w:val="bottom"/>
            <w:hideMark/>
          </w:tcPr>
          <w:p w14:paraId="0096C5FB" w14:textId="77777777" w:rsidR="000F7C00" w:rsidRPr="00C07E62" w:rsidRDefault="000F7C00" w:rsidP="00211FA3">
            <w:pPr>
              <w:spacing w:after="0" w:line="240" w:lineRule="auto"/>
              <w:rPr>
                <w:rFonts w:ascii="Times New Roman" w:eastAsia="Times New Roman" w:hAnsi="Times New Roman" w:cs="Times New Roman"/>
                <w:color w:val="000000"/>
              </w:rPr>
            </w:pPr>
            <w:r w:rsidRPr="00C07E62">
              <w:rPr>
                <w:rFonts w:ascii="Times New Roman" w:eastAsia="Times New Roman" w:hAnsi="Times New Roman" w:cs="Times New Roman"/>
                <w:color w:val="000000"/>
              </w:rPr>
              <w:t> </w:t>
            </w:r>
          </w:p>
        </w:tc>
        <w:tc>
          <w:tcPr>
            <w:tcW w:w="2190" w:type="dxa"/>
            <w:tcBorders>
              <w:top w:val="nil"/>
              <w:left w:val="nil"/>
              <w:bottom w:val="single" w:sz="4" w:space="0" w:color="auto"/>
              <w:right w:val="nil"/>
            </w:tcBorders>
            <w:shd w:val="clear" w:color="auto" w:fill="auto"/>
            <w:noWrap/>
            <w:vAlign w:val="bottom"/>
            <w:hideMark/>
          </w:tcPr>
          <w:p w14:paraId="3335D90B" w14:textId="77777777" w:rsidR="000F7C00" w:rsidRPr="00C07E62" w:rsidRDefault="000F7C00" w:rsidP="00211FA3">
            <w:pPr>
              <w:spacing w:after="0" w:line="240" w:lineRule="auto"/>
              <w:rPr>
                <w:rFonts w:ascii="Times New Roman" w:eastAsia="Times New Roman" w:hAnsi="Times New Roman" w:cs="Times New Roman"/>
                <w:color w:val="000000"/>
              </w:rPr>
            </w:pPr>
            <w:r w:rsidRPr="00C07E62">
              <w:rPr>
                <w:rFonts w:ascii="Times New Roman" w:eastAsia="Times New Roman" w:hAnsi="Times New Roman" w:cs="Times New Roman"/>
                <w:color w:val="000000"/>
              </w:rPr>
              <w:t> </w:t>
            </w:r>
          </w:p>
        </w:tc>
      </w:tr>
      <w:tr w:rsidR="000F7C00" w:rsidRPr="00C07E62" w14:paraId="23B44791" w14:textId="77777777" w:rsidTr="00211FA3">
        <w:trPr>
          <w:trHeight w:val="570"/>
          <w:jc w:val="center"/>
        </w:trPr>
        <w:tc>
          <w:tcPr>
            <w:tcW w:w="12960" w:type="dxa"/>
            <w:gridSpan w:val="5"/>
            <w:tcBorders>
              <w:top w:val="single" w:sz="4" w:space="0" w:color="auto"/>
              <w:left w:val="nil"/>
              <w:bottom w:val="nil"/>
              <w:right w:val="nil"/>
            </w:tcBorders>
            <w:shd w:val="clear" w:color="auto" w:fill="auto"/>
            <w:hideMark/>
          </w:tcPr>
          <w:p w14:paraId="7331F9A3" w14:textId="77777777" w:rsidR="000F7C00" w:rsidRPr="00C07E62" w:rsidRDefault="000F7C00" w:rsidP="00211FA3">
            <w:pPr>
              <w:spacing w:before="120" w:after="0" w:line="240" w:lineRule="auto"/>
              <w:rPr>
                <w:rFonts w:ascii="Times New Roman" w:eastAsia="Times New Roman" w:hAnsi="Times New Roman" w:cs="Times New Roman"/>
                <w:color w:val="000000"/>
                <w:sz w:val="20"/>
                <w:szCs w:val="20"/>
              </w:rPr>
            </w:pPr>
            <w:r w:rsidRPr="00C07E62">
              <w:rPr>
                <w:rFonts w:ascii="Times New Roman" w:eastAsia="Times New Roman" w:hAnsi="Times New Roman" w:cs="Times New Roman"/>
                <w:i/>
                <w:color w:val="000000"/>
                <w:sz w:val="20"/>
                <w:szCs w:val="20"/>
              </w:rPr>
              <w:t>Note</w:t>
            </w:r>
            <w:r w:rsidRPr="00C07E62">
              <w:rPr>
                <w:rFonts w:ascii="Times New Roman" w:eastAsia="Times New Roman" w:hAnsi="Times New Roman" w:cs="Times New Roman"/>
                <w:smallCaps/>
                <w:color w:val="000000"/>
                <w:sz w:val="20"/>
                <w:szCs w:val="20"/>
              </w:rPr>
              <w:t xml:space="preserve">: </w:t>
            </w:r>
            <w:r w:rsidRPr="00C07E62">
              <w:rPr>
                <w:rFonts w:ascii="Times New Roman" w:eastAsia="Times New Roman" w:hAnsi="Times New Roman" w:cs="Times New Roman"/>
                <w:color w:val="000000"/>
                <w:sz w:val="20"/>
                <w:szCs w:val="20"/>
              </w:rPr>
              <w:t xml:space="preserve">“FPL” is the federal poverty threshold as calculated by the Census Bureau for different family structures. Unlike Table 5, poverty rates here </w:t>
            </w:r>
            <w:proofErr w:type="gramStart"/>
            <w:r w:rsidRPr="00C07E62">
              <w:rPr>
                <w:rFonts w:ascii="Times New Roman" w:eastAsia="Times New Roman" w:hAnsi="Times New Roman" w:cs="Times New Roman"/>
                <w:color w:val="000000"/>
                <w:sz w:val="20"/>
                <w:szCs w:val="20"/>
              </w:rPr>
              <w:t>are calculated</w:t>
            </w:r>
            <w:proofErr w:type="gramEnd"/>
            <w:r w:rsidRPr="00C07E62">
              <w:rPr>
                <w:rFonts w:ascii="Times New Roman" w:eastAsia="Times New Roman" w:hAnsi="Times New Roman" w:cs="Times New Roman"/>
                <w:color w:val="000000"/>
                <w:sz w:val="20"/>
                <w:szCs w:val="20"/>
              </w:rPr>
              <w:t xml:space="preserve"> relative to total wage, salary, and positive business income—but not other cash transfers or unearned income—in each household. Changes in poverty rates reflect changes to each household member's earnings through treatment or general equilibrium effects.</w:t>
            </w:r>
          </w:p>
          <w:p w14:paraId="5F42E0BB" w14:textId="77777777" w:rsidR="000F7C00" w:rsidRPr="00C07E62" w:rsidRDefault="000F7C00" w:rsidP="00211FA3">
            <w:pPr>
              <w:spacing w:before="120" w:after="0" w:line="240" w:lineRule="auto"/>
              <w:rPr>
                <w:rFonts w:ascii="Times New Roman" w:eastAsia="Times New Roman" w:hAnsi="Times New Roman" w:cs="Times New Roman"/>
                <w:color w:val="000000"/>
                <w:sz w:val="20"/>
                <w:szCs w:val="20"/>
              </w:rPr>
            </w:pPr>
            <w:r w:rsidRPr="00C07E62">
              <w:rPr>
                <w:rFonts w:ascii="Times New Roman" w:eastAsia="Times New Roman" w:hAnsi="Times New Roman" w:cs="Times New Roman"/>
                <w:i/>
                <w:color w:val="000000"/>
                <w:sz w:val="20"/>
                <w:szCs w:val="20"/>
              </w:rPr>
              <w:t>Source</w:t>
            </w:r>
            <w:r w:rsidRPr="00C07E62">
              <w:rPr>
                <w:rFonts w:ascii="Times New Roman" w:eastAsia="Times New Roman" w:hAnsi="Times New Roman" w:cs="Times New Roman"/>
                <w:color w:val="000000"/>
                <w:sz w:val="20"/>
                <w:szCs w:val="20"/>
              </w:rPr>
              <w:t>: Authors’ calculations of March Current Population Survey 1980 and 2019 (Flood et al., 2019).</w:t>
            </w:r>
          </w:p>
        </w:tc>
      </w:tr>
    </w:tbl>
    <w:p w14:paraId="562A5327" w14:textId="77777777" w:rsidR="000F7C00" w:rsidRDefault="000F7C00" w:rsidP="000F7C00">
      <w:pPr>
        <w:rPr>
          <w:rFonts w:ascii="Times New Roman" w:hAnsi="Times New Roman" w:cs="Times New Roman"/>
        </w:rPr>
      </w:pPr>
    </w:p>
    <w:p w14:paraId="30C4D1F7" w14:textId="77777777" w:rsidR="000F7C00" w:rsidRDefault="000F7C00" w:rsidP="000F7C00">
      <w:pPr>
        <w:rPr>
          <w:rFonts w:ascii="Times New Roman" w:hAnsi="Times New Roman" w:cs="Times New Roman"/>
        </w:rPr>
      </w:pPr>
    </w:p>
    <w:p w14:paraId="09B7BF8F" w14:textId="77777777" w:rsidR="000F7C00" w:rsidRDefault="000F7C00" w:rsidP="000F7C00">
      <w:pPr>
        <w:rPr>
          <w:rFonts w:ascii="Times New Roman" w:hAnsi="Times New Roman" w:cs="Times New Roman"/>
        </w:rPr>
      </w:pPr>
    </w:p>
    <w:p w14:paraId="693C87B8" w14:textId="77777777" w:rsidR="000F7C00" w:rsidRDefault="000F7C00" w:rsidP="000F7C00">
      <w:pPr>
        <w:rPr>
          <w:rFonts w:ascii="Times New Roman" w:hAnsi="Times New Roman" w:cs="Times New Roman"/>
        </w:rPr>
      </w:pPr>
    </w:p>
    <w:p w14:paraId="522F9594" w14:textId="77777777" w:rsidR="000F7C00" w:rsidRDefault="000F7C00" w:rsidP="000F7C00">
      <w:pPr>
        <w:spacing w:after="0"/>
        <w:rPr>
          <w:rFonts w:ascii="Times New Roman" w:hAnsi="Times New Roman" w:cs="Times New Roman"/>
          <w:b/>
          <w:bCs/>
          <w:sz w:val="24"/>
          <w:szCs w:val="24"/>
        </w:rPr>
      </w:pPr>
    </w:p>
    <w:p w14:paraId="068A32A6" w14:textId="77777777" w:rsidR="000F7C00" w:rsidRDefault="000F7C00" w:rsidP="000F7C00">
      <w:pPr>
        <w:spacing w:after="0"/>
        <w:rPr>
          <w:rFonts w:ascii="Times New Roman" w:hAnsi="Times New Roman" w:cs="Times New Roman"/>
          <w:b/>
          <w:bCs/>
          <w:sz w:val="24"/>
          <w:szCs w:val="24"/>
        </w:rPr>
      </w:pPr>
    </w:p>
    <w:p w14:paraId="7EC5C2A6" w14:textId="77777777" w:rsidR="000F7C00" w:rsidRDefault="000F7C00" w:rsidP="000F7C00">
      <w:pPr>
        <w:rPr>
          <w:rFonts w:ascii="Times New Roman" w:hAnsi="Times New Roman" w:cs="Times New Roman"/>
          <w:b/>
          <w:bCs/>
          <w:sz w:val="24"/>
          <w:szCs w:val="24"/>
        </w:rPr>
      </w:pPr>
      <w:r>
        <w:rPr>
          <w:rFonts w:ascii="Times New Roman" w:hAnsi="Times New Roman" w:cs="Times New Roman"/>
          <w:b/>
          <w:bCs/>
          <w:sz w:val="24"/>
          <w:szCs w:val="24"/>
        </w:rPr>
        <w:br w:type="page"/>
      </w:r>
    </w:p>
    <w:p w14:paraId="03C94AED" w14:textId="77777777" w:rsidR="000F7C00" w:rsidRDefault="000F7C00" w:rsidP="000F7C00">
      <w:pPr>
        <w:spacing w:after="0"/>
        <w:rPr>
          <w:rFonts w:ascii="Times New Roman" w:hAnsi="Times New Roman" w:cs="Times New Roman"/>
          <w:b/>
          <w:bCs/>
          <w:sz w:val="24"/>
          <w:szCs w:val="24"/>
        </w:rPr>
      </w:pPr>
    </w:p>
    <w:tbl>
      <w:tblPr>
        <w:tblW w:w="13680" w:type="dxa"/>
        <w:jc w:val="center"/>
        <w:tblLayout w:type="fixed"/>
        <w:tblLook w:val="04A0" w:firstRow="1" w:lastRow="0" w:firstColumn="1" w:lastColumn="0" w:noHBand="0" w:noVBand="1"/>
      </w:tblPr>
      <w:tblGrid>
        <w:gridCol w:w="2736"/>
        <w:gridCol w:w="1314"/>
        <w:gridCol w:w="1422"/>
        <w:gridCol w:w="985"/>
        <w:gridCol w:w="1751"/>
        <w:gridCol w:w="657"/>
        <w:gridCol w:w="2079"/>
        <w:gridCol w:w="328"/>
        <w:gridCol w:w="2078"/>
        <w:gridCol w:w="330"/>
      </w:tblGrid>
      <w:tr w:rsidR="000F7C00" w:rsidRPr="000E5B76" w14:paraId="6E896D8E" w14:textId="77777777" w:rsidTr="00211FA3">
        <w:trPr>
          <w:gridAfter w:val="1"/>
          <w:wAfter w:w="330" w:type="dxa"/>
          <w:trHeight w:val="251"/>
          <w:jc w:val="center"/>
        </w:trPr>
        <w:tc>
          <w:tcPr>
            <w:tcW w:w="13350" w:type="dxa"/>
            <w:gridSpan w:val="9"/>
            <w:tcBorders>
              <w:left w:val="nil"/>
              <w:bottom w:val="single" w:sz="4" w:space="0" w:color="auto"/>
              <w:right w:val="nil"/>
            </w:tcBorders>
            <w:shd w:val="clear" w:color="auto" w:fill="auto"/>
            <w:hideMark/>
          </w:tcPr>
          <w:p w14:paraId="5C4C19DF" w14:textId="7DA653C9" w:rsidR="000F7C00" w:rsidRPr="00F055F4" w:rsidRDefault="000F7C00" w:rsidP="00211FA3">
            <w:pPr>
              <w:spacing w:after="120" w:line="240" w:lineRule="auto"/>
              <w:rPr>
                <w:rFonts w:ascii="Times New Roman" w:eastAsia="Times New Roman" w:hAnsi="Times New Roman" w:cs="Times New Roman"/>
                <w:b/>
                <w:bCs/>
                <w:color w:val="000000"/>
                <w:sz w:val="24"/>
                <w:szCs w:val="24"/>
              </w:rPr>
            </w:pPr>
            <w:r w:rsidRPr="00F055F4">
              <w:rPr>
                <w:rFonts w:ascii="Times New Roman" w:eastAsia="Times New Roman" w:hAnsi="Times New Roman" w:cs="Times New Roman"/>
                <w:b/>
                <w:bCs/>
                <w:color w:val="000000"/>
                <w:sz w:val="24"/>
                <w:szCs w:val="24"/>
              </w:rPr>
              <w:t xml:space="preserve">Table </w:t>
            </w:r>
            <w:r>
              <w:rPr>
                <w:rFonts w:ascii="Times New Roman" w:eastAsia="Times New Roman" w:hAnsi="Times New Roman" w:cs="Times New Roman"/>
                <w:b/>
                <w:bCs/>
                <w:color w:val="000000"/>
                <w:sz w:val="24"/>
                <w:szCs w:val="24"/>
              </w:rPr>
              <w:t>A.</w:t>
            </w:r>
            <w:r w:rsidRPr="00F055F4">
              <w:rPr>
                <w:rFonts w:ascii="Times New Roman" w:eastAsia="Times New Roman" w:hAnsi="Times New Roman" w:cs="Times New Roman"/>
                <w:b/>
                <w:bCs/>
                <w:color w:val="000000"/>
                <w:sz w:val="24"/>
                <w:szCs w:val="24"/>
              </w:rPr>
              <w:t xml:space="preserve">5: </w:t>
            </w:r>
            <w:r>
              <w:rPr>
                <w:rFonts w:ascii="Times New Roman" w:eastAsia="Times New Roman" w:hAnsi="Times New Roman" w:cs="Times New Roman"/>
                <w:b/>
                <w:bCs/>
                <w:color w:val="000000"/>
                <w:sz w:val="24"/>
                <w:szCs w:val="24"/>
              </w:rPr>
              <w:t xml:space="preserve">Child </w:t>
            </w:r>
            <w:r w:rsidRPr="00F055F4">
              <w:rPr>
                <w:rFonts w:ascii="Times New Roman" w:eastAsia="Times New Roman" w:hAnsi="Times New Roman" w:cs="Times New Roman"/>
                <w:b/>
                <w:bCs/>
                <w:color w:val="000000"/>
                <w:sz w:val="24"/>
                <w:szCs w:val="24"/>
              </w:rPr>
              <w:t>Poverty Rates</w:t>
            </w:r>
            <w:r>
              <w:rPr>
                <w:rFonts w:ascii="Times New Roman" w:eastAsia="Times New Roman" w:hAnsi="Times New Roman" w:cs="Times New Roman"/>
                <w:b/>
                <w:bCs/>
                <w:color w:val="000000"/>
                <w:sz w:val="24"/>
                <w:szCs w:val="24"/>
              </w:rPr>
              <w:t xml:space="preserve"> </w:t>
            </w:r>
            <w:r w:rsidR="00D279C9">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All </w:t>
            </w:r>
            <w:r w:rsidR="00D279C9">
              <w:rPr>
                <w:rFonts w:ascii="Times New Roman" w:eastAsia="Times New Roman" w:hAnsi="Times New Roman" w:cs="Times New Roman"/>
                <w:b/>
                <w:bCs/>
                <w:color w:val="000000"/>
                <w:sz w:val="24"/>
                <w:szCs w:val="24"/>
              </w:rPr>
              <w:t xml:space="preserve">Prime-Age </w:t>
            </w:r>
            <w:r>
              <w:rPr>
                <w:rFonts w:ascii="Times New Roman" w:eastAsia="Times New Roman" w:hAnsi="Times New Roman" w:cs="Times New Roman"/>
                <w:b/>
                <w:bCs/>
                <w:color w:val="000000"/>
                <w:sz w:val="24"/>
                <w:szCs w:val="24"/>
              </w:rPr>
              <w:t xml:space="preserve">Individuals </w:t>
            </w:r>
            <w:r w:rsidR="00D279C9">
              <w:rPr>
                <w:rFonts w:ascii="Times New Roman" w:eastAsia="Times New Roman" w:hAnsi="Times New Roman" w:cs="Times New Roman"/>
                <w:b/>
                <w:bCs/>
                <w:color w:val="000000"/>
                <w:sz w:val="24"/>
                <w:szCs w:val="24"/>
              </w:rPr>
              <w:t>Simulation)</w:t>
            </w:r>
          </w:p>
        </w:tc>
      </w:tr>
      <w:tr w:rsidR="000F7C00" w:rsidRPr="000E5B76" w14:paraId="2A384978" w14:textId="77777777" w:rsidTr="00211FA3">
        <w:tblPrEx>
          <w:jc w:val="left"/>
        </w:tblPrEx>
        <w:trPr>
          <w:trHeight w:val="560"/>
        </w:trPr>
        <w:tc>
          <w:tcPr>
            <w:tcW w:w="4050" w:type="dxa"/>
            <w:gridSpan w:val="2"/>
            <w:tcBorders>
              <w:top w:val="nil"/>
              <w:left w:val="nil"/>
              <w:bottom w:val="single" w:sz="4" w:space="0" w:color="auto"/>
              <w:right w:val="nil"/>
            </w:tcBorders>
            <w:shd w:val="clear" w:color="auto" w:fill="auto"/>
            <w:noWrap/>
            <w:vAlign w:val="bottom"/>
            <w:hideMark/>
          </w:tcPr>
          <w:p w14:paraId="293CCFDB" w14:textId="77777777" w:rsidR="000F7C00" w:rsidRPr="00F055F4" w:rsidRDefault="000F7C00" w:rsidP="00211FA3">
            <w:pPr>
              <w:spacing w:after="0" w:line="240" w:lineRule="auto"/>
              <w:rPr>
                <w:rFonts w:ascii="Times New Roman" w:eastAsia="Times New Roman" w:hAnsi="Times New Roman" w:cs="Times New Roman"/>
                <w:b/>
                <w:bCs/>
                <w:color w:val="000000"/>
                <w:sz w:val="24"/>
                <w:szCs w:val="24"/>
              </w:rPr>
            </w:pPr>
          </w:p>
        </w:tc>
        <w:tc>
          <w:tcPr>
            <w:tcW w:w="2407" w:type="dxa"/>
            <w:gridSpan w:val="2"/>
            <w:tcBorders>
              <w:top w:val="nil"/>
              <w:left w:val="nil"/>
              <w:bottom w:val="single" w:sz="4" w:space="0" w:color="auto"/>
              <w:right w:val="nil"/>
            </w:tcBorders>
            <w:shd w:val="clear" w:color="auto" w:fill="auto"/>
            <w:vAlign w:val="bottom"/>
            <w:hideMark/>
          </w:tcPr>
          <w:p w14:paraId="1CFED45C" w14:textId="77777777" w:rsidR="000F7C00" w:rsidRDefault="000F7C00" w:rsidP="00211FA3">
            <w:pPr>
              <w:spacing w:after="0" w:line="240" w:lineRule="auto"/>
              <w:jc w:val="center"/>
              <w:rPr>
                <w:rFonts w:ascii="Times New Roman" w:eastAsia="Times New Roman" w:hAnsi="Times New Roman" w:cs="Times New Roman"/>
                <w:color w:val="000000"/>
                <w:sz w:val="24"/>
                <w:szCs w:val="24"/>
              </w:rPr>
            </w:pPr>
            <w:r w:rsidRPr="00F055F4">
              <w:rPr>
                <w:rFonts w:ascii="Times New Roman" w:eastAsia="Times New Roman" w:hAnsi="Times New Roman" w:cs="Times New Roman"/>
                <w:color w:val="000000"/>
                <w:sz w:val="24"/>
                <w:szCs w:val="24"/>
              </w:rPr>
              <w:t>Deep Poverty</w:t>
            </w:r>
          </w:p>
          <w:p w14:paraId="7725920E" w14:textId="77777777" w:rsidR="000F7C00" w:rsidRPr="00F055F4" w:rsidRDefault="000F7C00" w:rsidP="00211FA3">
            <w:pPr>
              <w:spacing w:after="0" w:line="240" w:lineRule="auto"/>
              <w:jc w:val="center"/>
              <w:rPr>
                <w:rFonts w:ascii="Times New Roman" w:eastAsia="Times New Roman" w:hAnsi="Times New Roman" w:cs="Times New Roman"/>
                <w:color w:val="000000"/>
                <w:sz w:val="24"/>
                <w:szCs w:val="24"/>
              </w:rPr>
            </w:pPr>
            <w:r w:rsidRPr="00F055F4">
              <w:rPr>
                <w:rFonts w:ascii="Times New Roman" w:eastAsia="Times New Roman" w:hAnsi="Times New Roman" w:cs="Times New Roman"/>
                <w:color w:val="000000"/>
                <w:sz w:val="24"/>
                <w:szCs w:val="24"/>
              </w:rPr>
              <w:t>(&lt;50% FPL)</w:t>
            </w:r>
          </w:p>
        </w:tc>
        <w:tc>
          <w:tcPr>
            <w:tcW w:w="2408" w:type="dxa"/>
            <w:gridSpan w:val="2"/>
            <w:tcBorders>
              <w:top w:val="nil"/>
              <w:left w:val="nil"/>
              <w:bottom w:val="single" w:sz="4" w:space="0" w:color="auto"/>
              <w:right w:val="nil"/>
            </w:tcBorders>
            <w:shd w:val="clear" w:color="auto" w:fill="auto"/>
            <w:vAlign w:val="center"/>
            <w:hideMark/>
          </w:tcPr>
          <w:p w14:paraId="77610B9C" w14:textId="77777777" w:rsidR="000F7C00" w:rsidRPr="00F055F4" w:rsidRDefault="000F7C00" w:rsidP="00211FA3">
            <w:pPr>
              <w:spacing w:after="0" w:line="240" w:lineRule="auto"/>
              <w:jc w:val="center"/>
              <w:rPr>
                <w:rFonts w:ascii="Times New Roman" w:eastAsia="Times New Roman" w:hAnsi="Times New Roman" w:cs="Times New Roman"/>
                <w:color w:val="000000"/>
                <w:sz w:val="24"/>
                <w:szCs w:val="24"/>
              </w:rPr>
            </w:pPr>
            <w:r w:rsidRPr="00F055F4">
              <w:rPr>
                <w:rFonts w:ascii="Times New Roman" w:eastAsia="Times New Roman" w:hAnsi="Times New Roman" w:cs="Times New Roman"/>
                <w:color w:val="000000"/>
                <w:sz w:val="24"/>
                <w:szCs w:val="24"/>
              </w:rPr>
              <w:t>Poverty (FPL)</w:t>
            </w:r>
          </w:p>
        </w:tc>
        <w:tc>
          <w:tcPr>
            <w:tcW w:w="2407" w:type="dxa"/>
            <w:gridSpan w:val="2"/>
            <w:tcBorders>
              <w:top w:val="nil"/>
              <w:left w:val="nil"/>
              <w:bottom w:val="single" w:sz="4" w:space="0" w:color="auto"/>
              <w:right w:val="nil"/>
            </w:tcBorders>
            <w:shd w:val="clear" w:color="auto" w:fill="auto"/>
            <w:vAlign w:val="bottom"/>
            <w:hideMark/>
          </w:tcPr>
          <w:p w14:paraId="6107487F" w14:textId="77777777" w:rsidR="000F7C00" w:rsidRDefault="000F7C00" w:rsidP="00211FA3">
            <w:pPr>
              <w:spacing w:after="0" w:line="240" w:lineRule="auto"/>
              <w:jc w:val="center"/>
              <w:rPr>
                <w:rFonts w:ascii="Times New Roman" w:eastAsia="Times New Roman" w:hAnsi="Times New Roman" w:cs="Times New Roman"/>
                <w:color w:val="000000"/>
                <w:sz w:val="24"/>
                <w:szCs w:val="24"/>
              </w:rPr>
            </w:pPr>
            <w:r w:rsidRPr="00F055F4">
              <w:rPr>
                <w:rFonts w:ascii="Times New Roman" w:eastAsia="Times New Roman" w:hAnsi="Times New Roman" w:cs="Times New Roman"/>
                <w:color w:val="000000"/>
                <w:sz w:val="24"/>
                <w:szCs w:val="24"/>
              </w:rPr>
              <w:t>Near Poverty</w:t>
            </w:r>
          </w:p>
          <w:p w14:paraId="6F750E78" w14:textId="77777777" w:rsidR="000F7C00" w:rsidRPr="00F055F4" w:rsidRDefault="000F7C00" w:rsidP="00211FA3">
            <w:pPr>
              <w:spacing w:after="0" w:line="240" w:lineRule="auto"/>
              <w:jc w:val="center"/>
              <w:rPr>
                <w:rFonts w:ascii="Times New Roman" w:eastAsia="Times New Roman" w:hAnsi="Times New Roman" w:cs="Times New Roman"/>
                <w:color w:val="000000"/>
                <w:sz w:val="24"/>
                <w:szCs w:val="24"/>
              </w:rPr>
            </w:pPr>
            <w:r w:rsidRPr="00F055F4">
              <w:rPr>
                <w:rFonts w:ascii="Times New Roman" w:eastAsia="Times New Roman" w:hAnsi="Times New Roman" w:cs="Times New Roman"/>
                <w:color w:val="000000"/>
                <w:sz w:val="24"/>
                <w:szCs w:val="24"/>
              </w:rPr>
              <w:t>(&lt;150% FPL)</w:t>
            </w:r>
          </w:p>
        </w:tc>
        <w:tc>
          <w:tcPr>
            <w:tcW w:w="2408" w:type="dxa"/>
            <w:gridSpan w:val="2"/>
            <w:tcBorders>
              <w:top w:val="nil"/>
              <w:left w:val="nil"/>
              <w:bottom w:val="single" w:sz="4" w:space="0" w:color="auto"/>
              <w:right w:val="nil"/>
            </w:tcBorders>
            <w:shd w:val="clear" w:color="auto" w:fill="auto"/>
            <w:vAlign w:val="bottom"/>
            <w:hideMark/>
          </w:tcPr>
          <w:p w14:paraId="78B905BB" w14:textId="77777777" w:rsidR="000F7C00" w:rsidRDefault="000F7C00" w:rsidP="00211FA3">
            <w:pPr>
              <w:spacing w:after="0" w:line="240" w:lineRule="auto"/>
              <w:jc w:val="center"/>
              <w:rPr>
                <w:rFonts w:ascii="Times New Roman" w:eastAsia="Times New Roman" w:hAnsi="Times New Roman" w:cs="Times New Roman"/>
                <w:color w:val="000000"/>
                <w:sz w:val="24"/>
                <w:szCs w:val="24"/>
              </w:rPr>
            </w:pPr>
            <w:r w:rsidRPr="00F055F4">
              <w:rPr>
                <w:rFonts w:ascii="Times New Roman" w:eastAsia="Times New Roman" w:hAnsi="Times New Roman" w:cs="Times New Roman"/>
                <w:color w:val="000000"/>
                <w:sz w:val="24"/>
                <w:szCs w:val="24"/>
              </w:rPr>
              <w:t>Low Income</w:t>
            </w:r>
          </w:p>
          <w:p w14:paraId="6D1DC5C0" w14:textId="77777777" w:rsidR="000F7C00" w:rsidRPr="00F055F4" w:rsidRDefault="000F7C00" w:rsidP="00211FA3">
            <w:pPr>
              <w:spacing w:after="0" w:line="240" w:lineRule="auto"/>
              <w:jc w:val="center"/>
              <w:rPr>
                <w:rFonts w:ascii="Times New Roman" w:eastAsia="Times New Roman" w:hAnsi="Times New Roman" w:cs="Times New Roman"/>
                <w:color w:val="000000"/>
                <w:sz w:val="24"/>
                <w:szCs w:val="24"/>
              </w:rPr>
            </w:pPr>
            <w:r w:rsidRPr="00F055F4">
              <w:rPr>
                <w:rFonts w:ascii="Times New Roman" w:eastAsia="Times New Roman" w:hAnsi="Times New Roman" w:cs="Times New Roman"/>
                <w:color w:val="000000"/>
                <w:sz w:val="24"/>
                <w:szCs w:val="24"/>
              </w:rPr>
              <w:t>(&lt;200% FPL)</w:t>
            </w:r>
          </w:p>
        </w:tc>
      </w:tr>
      <w:tr w:rsidR="000F7C00" w:rsidRPr="000E5B76" w14:paraId="6C8CED2D" w14:textId="77777777" w:rsidTr="00211FA3">
        <w:tblPrEx>
          <w:jc w:val="left"/>
        </w:tblPrEx>
        <w:trPr>
          <w:trHeight w:val="87"/>
        </w:trPr>
        <w:tc>
          <w:tcPr>
            <w:tcW w:w="4050" w:type="dxa"/>
            <w:gridSpan w:val="2"/>
            <w:tcBorders>
              <w:top w:val="single" w:sz="4" w:space="0" w:color="auto"/>
              <w:left w:val="nil"/>
              <w:bottom w:val="nil"/>
              <w:right w:val="nil"/>
            </w:tcBorders>
            <w:shd w:val="clear" w:color="auto" w:fill="auto"/>
            <w:noWrap/>
            <w:vAlign w:val="bottom"/>
            <w:hideMark/>
          </w:tcPr>
          <w:p w14:paraId="4C6737AA" w14:textId="77777777" w:rsidR="000F7C00" w:rsidRPr="00F055F4" w:rsidRDefault="000F7C00" w:rsidP="00211FA3">
            <w:pPr>
              <w:spacing w:after="0" w:line="240" w:lineRule="auto"/>
              <w:rPr>
                <w:rFonts w:ascii="Times New Roman" w:eastAsia="Times New Roman" w:hAnsi="Times New Roman" w:cs="Times New Roman"/>
                <w:color w:val="000000"/>
                <w:sz w:val="24"/>
                <w:szCs w:val="24"/>
              </w:rPr>
            </w:pPr>
          </w:p>
        </w:tc>
        <w:tc>
          <w:tcPr>
            <w:tcW w:w="2407" w:type="dxa"/>
            <w:gridSpan w:val="2"/>
            <w:tcBorders>
              <w:top w:val="single" w:sz="4" w:space="0" w:color="auto"/>
              <w:left w:val="nil"/>
              <w:bottom w:val="nil"/>
              <w:right w:val="nil"/>
            </w:tcBorders>
            <w:shd w:val="clear" w:color="auto" w:fill="auto"/>
            <w:vAlign w:val="bottom"/>
            <w:hideMark/>
          </w:tcPr>
          <w:p w14:paraId="2ECF6201" w14:textId="77777777" w:rsidR="000F7C00" w:rsidRPr="00F055F4" w:rsidRDefault="000F7C00" w:rsidP="00211FA3">
            <w:pPr>
              <w:spacing w:after="0" w:line="240" w:lineRule="auto"/>
              <w:jc w:val="center"/>
              <w:rPr>
                <w:rFonts w:ascii="Times New Roman" w:eastAsia="Times New Roman" w:hAnsi="Times New Roman" w:cs="Times New Roman"/>
                <w:sz w:val="24"/>
                <w:szCs w:val="24"/>
              </w:rPr>
            </w:pPr>
          </w:p>
        </w:tc>
        <w:tc>
          <w:tcPr>
            <w:tcW w:w="2408" w:type="dxa"/>
            <w:gridSpan w:val="2"/>
            <w:tcBorders>
              <w:top w:val="single" w:sz="4" w:space="0" w:color="auto"/>
              <w:left w:val="nil"/>
              <w:bottom w:val="nil"/>
              <w:right w:val="nil"/>
            </w:tcBorders>
            <w:shd w:val="clear" w:color="auto" w:fill="auto"/>
            <w:vAlign w:val="bottom"/>
            <w:hideMark/>
          </w:tcPr>
          <w:p w14:paraId="64EF93C2" w14:textId="77777777" w:rsidR="000F7C00" w:rsidRPr="00F055F4" w:rsidRDefault="000F7C00" w:rsidP="00211FA3">
            <w:pPr>
              <w:spacing w:after="0" w:line="240" w:lineRule="auto"/>
              <w:jc w:val="center"/>
              <w:rPr>
                <w:rFonts w:ascii="Times New Roman" w:eastAsia="Times New Roman" w:hAnsi="Times New Roman" w:cs="Times New Roman"/>
                <w:sz w:val="24"/>
                <w:szCs w:val="24"/>
              </w:rPr>
            </w:pPr>
          </w:p>
        </w:tc>
        <w:tc>
          <w:tcPr>
            <w:tcW w:w="2407" w:type="dxa"/>
            <w:gridSpan w:val="2"/>
            <w:tcBorders>
              <w:top w:val="single" w:sz="4" w:space="0" w:color="auto"/>
              <w:left w:val="nil"/>
              <w:bottom w:val="nil"/>
              <w:right w:val="nil"/>
            </w:tcBorders>
            <w:shd w:val="clear" w:color="auto" w:fill="auto"/>
            <w:vAlign w:val="bottom"/>
            <w:hideMark/>
          </w:tcPr>
          <w:p w14:paraId="560459AF" w14:textId="77777777" w:rsidR="000F7C00" w:rsidRPr="00F055F4" w:rsidRDefault="000F7C00" w:rsidP="00211FA3">
            <w:pPr>
              <w:spacing w:after="0" w:line="240" w:lineRule="auto"/>
              <w:jc w:val="center"/>
              <w:rPr>
                <w:rFonts w:ascii="Times New Roman" w:eastAsia="Times New Roman" w:hAnsi="Times New Roman" w:cs="Times New Roman"/>
                <w:sz w:val="24"/>
                <w:szCs w:val="24"/>
              </w:rPr>
            </w:pPr>
          </w:p>
        </w:tc>
        <w:tc>
          <w:tcPr>
            <w:tcW w:w="2408" w:type="dxa"/>
            <w:gridSpan w:val="2"/>
            <w:tcBorders>
              <w:top w:val="single" w:sz="4" w:space="0" w:color="auto"/>
              <w:left w:val="nil"/>
              <w:bottom w:val="nil"/>
              <w:right w:val="nil"/>
            </w:tcBorders>
            <w:shd w:val="clear" w:color="auto" w:fill="auto"/>
            <w:vAlign w:val="bottom"/>
            <w:hideMark/>
          </w:tcPr>
          <w:p w14:paraId="7FF1711A" w14:textId="77777777" w:rsidR="000F7C00" w:rsidRPr="00F055F4" w:rsidRDefault="000F7C00" w:rsidP="00211FA3">
            <w:pPr>
              <w:spacing w:after="0" w:line="240" w:lineRule="auto"/>
              <w:jc w:val="center"/>
              <w:rPr>
                <w:rFonts w:ascii="Times New Roman" w:eastAsia="Times New Roman" w:hAnsi="Times New Roman" w:cs="Times New Roman"/>
                <w:sz w:val="24"/>
                <w:szCs w:val="24"/>
              </w:rPr>
            </w:pPr>
          </w:p>
        </w:tc>
      </w:tr>
      <w:tr w:rsidR="000F7C00" w:rsidRPr="000E5B76" w14:paraId="1310E676" w14:textId="77777777" w:rsidTr="00211FA3">
        <w:tblPrEx>
          <w:jc w:val="left"/>
        </w:tblPrEx>
        <w:trPr>
          <w:trHeight w:val="280"/>
        </w:trPr>
        <w:tc>
          <w:tcPr>
            <w:tcW w:w="4050" w:type="dxa"/>
            <w:gridSpan w:val="2"/>
            <w:tcBorders>
              <w:top w:val="nil"/>
              <w:left w:val="nil"/>
              <w:bottom w:val="nil"/>
              <w:right w:val="nil"/>
            </w:tcBorders>
            <w:shd w:val="clear" w:color="auto" w:fill="auto"/>
            <w:noWrap/>
            <w:vAlign w:val="bottom"/>
            <w:hideMark/>
          </w:tcPr>
          <w:p w14:paraId="7573C590" w14:textId="77777777" w:rsidR="000F7C00" w:rsidRPr="00F055F4" w:rsidRDefault="000F7C00" w:rsidP="00211FA3">
            <w:pPr>
              <w:spacing w:after="0" w:line="240" w:lineRule="auto"/>
              <w:rPr>
                <w:rFonts w:ascii="Times New Roman" w:eastAsia="Times New Roman" w:hAnsi="Times New Roman" w:cs="Times New Roman"/>
                <w:color w:val="000000"/>
                <w:sz w:val="24"/>
                <w:szCs w:val="24"/>
              </w:rPr>
            </w:pPr>
            <w:r w:rsidRPr="00A44656">
              <w:rPr>
                <w:rFonts w:ascii="Times New Roman" w:eastAsia="Times New Roman" w:hAnsi="Times New Roman" w:cs="Times New Roman"/>
                <w:b/>
                <w:color w:val="000000"/>
                <w:sz w:val="24"/>
                <w:szCs w:val="24"/>
              </w:rPr>
              <w:t>Panel A: Observed</w:t>
            </w:r>
          </w:p>
        </w:tc>
        <w:tc>
          <w:tcPr>
            <w:tcW w:w="2407" w:type="dxa"/>
            <w:gridSpan w:val="2"/>
            <w:tcBorders>
              <w:top w:val="nil"/>
              <w:left w:val="nil"/>
              <w:bottom w:val="nil"/>
              <w:right w:val="nil"/>
            </w:tcBorders>
            <w:shd w:val="clear" w:color="auto" w:fill="auto"/>
            <w:vAlign w:val="bottom"/>
            <w:hideMark/>
          </w:tcPr>
          <w:p w14:paraId="756F2D01" w14:textId="77777777" w:rsidR="000F7C00" w:rsidRPr="00F055F4" w:rsidRDefault="000F7C00" w:rsidP="00211FA3">
            <w:pPr>
              <w:spacing w:after="0" w:line="240" w:lineRule="auto"/>
              <w:jc w:val="center"/>
              <w:rPr>
                <w:rFonts w:ascii="Times New Roman" w:eastAsia="Times New Roman" w:hAnsi="Times New Roman" w:cs="Times New Roman"/>
                <w:color w:val="000000"/>
                <w:sz w:val="24"/>
                <w:szCs w:val="24"/>
              </w:rPr>
            </w:pPr>
          </w:p>
        </w:tc>
        <w:tc>
          <w:tcPr>
            <w:tcW w:w="2408" w:type="dxa"/>
            <w:gridSpan w:val="2"/>
            <w:tcBorders>
              <w:top w:val="nil"/>
              <w:left w:val="nil"/>
              <w:bottom w:val="nil"/>
              <w:right w:val="nil"/>
            </w:tcBorders>
            <w:shd w:val="clear" w:color="auto" w:fill="auto"/>
            <w:vAlign w:val="bottom"/>
            <w:hideMark/>
          </w:tcPr>
          <w:p w14:paraId="451E7DC4" w14:textId="77777777" w:rsidR="000F7C00" w:rsidRPr="00F055F4" w:rsidRDefault="000F7C00" w:rsidP="00211FA3">
            <w:pPr>
              <w:spacing w:after="0" w:line="240" w:lineRule="auto"/>
              <w:jc w:val="center"/>
              <w:rPr>
                <w:rFonts w:ascii="Times New Roman" w:eastAsia="Times New Roman" w:hAnsi="Times New Roman" w:cs="Times New Roman"/>
                <w:sz w:val="24"/>
                <w:szCs w:val="24"/>
              </w:rPr>
            </w:pPr>
          </w:p>
        </w:tc>
        <w:tc>
          <w:tcPr>
            <w:tcW w:w="2407" w:type="dxa"/>
            <w:gridSpan w:val="2"/>
            <w:tcBorders>
              <w:top w:val="nil"/>
              <w:left w:val="nil"/>
              <w:bottom w:val="nil"/>
              <w:right w:val="nil"/>
            </w:tcBorders>
            <w:shd w:val="clear" w:color="auto" w:fill="auto"/>
            <w:vAlign w:val="bottom"/>
            <w:hideMark/>
          </w:tcPr>
          <w:p w14:paraId="3DCBB287" w14:textId="77777777" w:rsidR="000F7C00" w:rsidRPr="00F055F4" w:rsidRDefault="000F7C00" w:rsidP="00211FA3">
            <w:pPr>
              <w:spacing w:after="0" w:line="240" w:lineRule="auto"/>
              <w:jc w:val="center"/>
              <w:rPr>
                <w:rFonts w:ascii="Times New Roman" w:eastAsia="Times New Roman" w:hAnsi="Times New Roman" w:cs="Times New Roman"/>
                <w:sz w:val="24"/>
                <w:szCs w:val="24"/>
              </w:rPr>
            </w:pPr>
          </w:p>
        </w:tc>
        <w:tc>
          <w:tcPr>
            <w:tcW w:w="2408" w:type="dxa"/>
            <w:gridSpan w:val="2"/>
            <w:tcBorders>
              <w:top w:val="nil"/>
              <w:left w:val="nil"/>
              <w:bottom w:val="nil"/>
              <w:right w:val="nil"/>
            </w:tcBorders>
            <w:shd w:val="clear" w:color="auto" w:fill="auto"/>
            <w:vAlign w:val="bottom"/>
            <w:hideMark/>
          </w:tcPr>
          <w:p w14:paraId="4A8CB537" w14:textId="77777777" w:rsidR="000F7C00" w:rsidRPr="00F055F4" w:rsidRDefault="000F7C00" w:rsidP="00211FA3">
            <w:pPr>
              <w:spacing w:after="0" w:line="240" w:lineRule="auto"/>
              <w:jc w:val="center"/>
              <w:rPr>
                <w:rFonts w:ascii="Times New Roman" w:eastAsia="Times New Roman" w:hAnsi="Times New Roman" w:cs="Times New Roman"/>
                <w:sz w:val="24"/>
                <w:szCs w:val="24"/>
              </w:rPr>
            </w:pPr>
          </w:p>
        </w:tc>
      </w:tr>
      <w:tr w:rsidR="00F05A1C" w:rsidRPr="000E5B76" w14:paraId="39EFE92A" w14:textId="77777777" w:rsidTr="00211FA3">
        <w:tblPrEx>
          <w:jc w:val="left"/>
        </w:tblPrEx>
        <w:trPr>
          <w:trHeight w:val="280"/>
        </w:trPr>
        <w:tc>
          <w:tcPr>
            <w:tcW w:w="4050" w:type="dxa"/>
            <w:gridSpan w:val="2"/>
            <w:tcBorders>
              <w:top w:val="nil"/>
              <w:left w:val="nil"/>
              <w:bottom w:val="nil"/>
              <w:right w:val="nil"/>
            </w:tcBorders>
            <w:shd w:val="clear" w:color="auto" w:fill="auto"/>
            <w:noWrap/>
            <w:vAlign w:val="bottom"/>
            <w:hideMark/>
          </w:tcPr>
          <w:p w14:paraId="0A65EA6D" w14:textId="77777777" w:rsidR="00F05A1C" w:rsidRPr="00F055F4" w:rsidRDefault="00F05A1C" w:rsidP="00F05A1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055F4">
              <w:rPr>
                <w:rFonts w:ascii="Times New Roman" w:eastAsia="Times New Roman" w:hAnsi="Times New Roman" w:cs="Times New Roman"/>
                <w:color w:val="000000"/>
                <w:sz w:val="24"/>
                <w:szCs w:val="24"/>
              </w:rPr>
              <w:t>1979</w:t>
            </w:r>
          </w:p>
        </w:tc>
        <w:tc>
          <w:tcPr>
            <w:tcW w:w="2407" w:type="dxa"/>
            <w:gridSpan w:val="2"/>
            <w:tcBorders>
              <w:top w:val="nil"/>
              <w:left w:val="nil"/>
              <w:bottom w:val="nil"/>
              <w:right w:val="nil"/>
            </w:tcBorders>
            <w:shd w:val="clear" w:color="auto" w:fill="auto"/>
            <w:noWrap/>
            <w:vAlign w:val="center"/>
            <w:hideMark/>
          </w:tcPr>
          <w:p w14:paraId="02DF1BDD" w14:textId="14BBF0E4" w:rsidR="00F05A1C" w:rsidRPr="00F05A1C" w:rsidRDefault="00F05A1C" w:rsidP="00F05A1C">
            <w:pPr>
              <w:spacing w:after="0" w:line="240" w:lineRule="auto"/>
              <w:jc w:val="center"/>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6.33%</w:t>
            </w:r>
          </w:p>
        </w:tc>
        <w:tc>
          <w:tcPr>
            <w:tcW w:w="2408" w:type="dxa"/>
            <w:gridSpan w:val="2"/>
            <w:tcBorders>
              <w:top w:val="nil"/>
              <w:left w:val="nil"/>
              <w:bottom w:val="nil"/>
              <w:right w:val="nil"/>
            </w:tcBorders>
            <w:shd w:val="clear" w:color="auto" w:fill="auto"/>
            <w:noWrap/>
            <w:vAlign w:val="center"/>
            <w:hideMark/>
          </w:tcPr>
          <w:p w14:paraId="443C8C9B" w14:textId="091520BD" w:rsidR="00F05A1C" w:rsidRPr="00F05A1C" w:rsidRDefault="00F05A1C" w:rsidP="00F05A1C">
            <w:pPr>
              <w:spacing w:after="0" w:line="240" w:lineRule="auto"/>
              <w:jc w:val="center"/>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16.79%</w:t>
            </w:r>
          </w:p>
        </w:tc>
        <w:tc>
          <w:tcPr>
            <w:tcW w:w="2407" w:type="dxa"/>
            <w:gridSpan w:val="2"/>
            <w:tcBorders>
              <w:top w:val="nil"/>
              <w:left w:val="nil"/>
              <w:bottom w:val="nil"/>
              <w:right w:val="nil"/>
            </w:tcBorders>
            <w:shd w:val="clear" w:color="auto" w:fill="auto"/>
            <w:noWrap/>
            <w:vAlign w:val="center"/>
            <w:hideMark/>
          </w:tcPr>
          <w:p w14:paraId="61EAED4D" w14:textId="0A95B832" w:rsidR="00F05A1C" w:rsidRPr="00F05A1C" w:rsidRDefault="00F05A1C" w:rsidP="00F05A1C">
            <w:pPr>
              <w:spacing w:after="0" w:line="240" w:lineRule="auto"/>
              <w:jc w:val="center"/>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27.45%</w:t>
            </w:r>
          </w:p>
        </w:tc>
        <w:tc>
          <w:tcPr>
            <w:tcW w:w="2408" w:type="dxa"/>
            <w:gridSpan w:val="2"/>
            <w:tcBorders>
              <w:top w:val="nil"/>
              <w:left w:val="nil"/>
              <w:bottom w:val="nil"/>
              <w:right w:val="nil"/>
            </w:tcBorders>
            <w:shd w:val="clear" w:color="auto" w:fill="auto"/>
            <w:noWrap/>
            <w:vAlign w:val="center"/>
            <w:hideMark/>
          </w:tcPr>
          <w:p w14:paraId="0C9E8F66" w14:textId="2CC81F38" w:rsidR="00F05A1C" w:rsidRPr="00F05A1C" w:rsidRDefault="00F05A1C" w:rsidP="00F05A1C">
            <w:pPr>
              <w:spacing w:after="0" w:line="240" w:lineRule="auto"/>
              <w:jc w:val="center"/>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39.36%</w:t>
            </w:r>
          </w:p>
        </w:tc>
      </w:tr>
      <w:tr w:rsidR="00F05A1C" w:rsidRPr="000E5B76" w14:paraId="3AA41F66" w14:textId="77777777" w:rsidTr="00211FA3">
        <w:tblPrEx>
          <w:jc w:val="left"/>
        </w:tblPrEx>
        <w:trPr>
          <w:trHeight w:val="280"/>
        </w:trPr>
        <w:tc>
          <w:tcPr>
            <w:tcW w:w="4050" w:type="dxa"/>
            <w:gridSpan w:val="2"/>
            <w:tcBorders>
              <w:top w:val="nil"/>
              <w:left w:val="nil"/>
              <w:bottom w:val="nil"/>
              <w:right w:val="nil"/>
            </w:tcBorders>
            <w:shd w:val="clear" w:color="auto" w:fill="auto"/>
            <w:noWrap/>
            <w:vAlign w:val="bottom"/>
            <w:hideMark/>
          </w:tcPr>
          <w:p w14:paraId="43D0B112" w14:textId="77777777" w:rsidR="00F05A1C" w:rsidRPr="00F055F4" w:rsidRDefault="00F05A1C" w:rsidP="00F05A1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055F4">
              <w:rPr>
                <w:rFonts w:ascii="Times New Roman" w:eastAsia="Times New Roman" w:hAnsi="Times New Roman" w:cs="Times New Roman"/>
                <w:color w:val="000000"/>
                <w:sz w:val="24"/>
                <w:szCs w:val="24"/>
              </w:rPr>
              <w:t>2018</w:t>
            </w:r>
          </w:p>
        </w:tc>
        <w:tc>
          <w:tcPr>
            <w:tcW w:w="2407" w:type="dxa"/>
            <w:gridSpan w:val="2"/>
            <w:tcBorders>
              <w:top w:val="nil"/>
              <w:left w:val="nil"/>
              <w:bottom w:val="nil"/>
              <w:right w:val="nil"/>
            </w:tcBorders>
            <w:shd w:val="clear" w:color="auto" w:fill="auto"/>
            <w:noWrap/>
            <w:vAlign w:val="center"/>
            <w:hideMark/>
          </w:tcPr>
          <w:p w14:paraId="3825DDF3" w14:textId="14628502" w:rsidR="00F05A1C" w:rsidRPr="00F05A1C" w:rsidRDefault="00F05A1C" w:rsidP="00F05A1C">
            <w:pPr>
              <w:spacing w:after="0" w:line="240" w:lineRule="auto"/>
              <w:jc w:val="center"/>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7.54%</w:t>
            </w:r>
          </w:p>
        </w:tc>
        <w:tc>
          <w:tcPr>
            <w:tcW w:w="2408" w:type="dxa"/>
            <w:gridSpan w:val="2"/>
            <w:tcBorders>
              <w:top w:val="nil"/>
              <w:left w:val="nil"/>
              <w:bottom w:val="nil"/>
              <w:right w:val="nil"/>
            </w:tcBorders>
            <w:shd w:val="clear" w:color="auto" w:fill="auto"/>
            <w:noWrap/>
            <w:vAlign w:val="center"/>
            <w:hideMark/>
          </w:tcPr>
          <w:p w14:paraId="1FC08806" w14:textId="22955327" w:rsidR="00F05A1C" w:rsidRPr="00F05A1C" w:rsidRDefault="00F05A1C" w:rsidP="00F05A1C">
            <w:pPr>
              <w:spacing w:after="0" w:line="240" w:lineRule="auto"/>
              <w:jc w:val="center"/>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16.83%</w:t>
            </w:r>
          </w:p>
        </w:tc>
        <w:tc>
          <w:tcPr>
            <w:tcW w:w="2407" w:type="dxa"/>
            <w:gridSpan w:val="2"/>
            <w:tcBorders>
              <w:top w:val="nil"/>
              <w:left w:val="nil"/>
              <w:bottom w:val="nil"/>
              <w:right w:val="nil"/>
            </w:tcBorders>
            <w:shd w:val="clear" w:color="auto" w:fill="auto"/>
            <w:noWrap/>
            <w:vAlign w:val="center"/>
            <w:hideMark/>
          </w:tcPr>
          <w:p w14:paraId="382F125E" w14:textId="55A3C633" w:rsidR="00F05A1C" w:rsidRPr="00F05A1C" w:rsidRDefault="00F05A1C" w:rsidP="00F05A1C">
            <w:pPr>
              <w:spacing w:after="0" w:line="240" w:lineRule="auto"/>
              <w:jc w:val="center"/>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27.92%</w:t>
            </w:r>
          </w:p>
        </w:tc>
        <w:tc>
          <w:tcPr>
            <w:tcW w:w="2408" w:type="dxa"/>
            <w:gridSpan w:val="2"/>
            <w:tcBorders>
              <w:top w:val="nil"/>
              <w:left w:val="nil"/>
              <w:bottom w:val="nil"/>
              <w:right w:val="nil"/>
            </w:tcBorders>
            <w:shd w:val="clear" w:color="auto" w:fill="auto"/>
            <w:noWrap/>
            <w:vAlign w:val="center"/>
            <w:hideMark/>
          </w:tcPr>
          <w:p w14:paraId="00E05EDE" w14:textId="06F773DD" w:rsidR="00F05A1C" w:rsidRPr="00F05A1C" w:rsidRDefault="00F05A1C" w:rsidP="00F05A1C">
            <w:pPr>
              <w:spacing w:after="0" w:line="240" w:lineRule="auto"/>
              <w:jc w:val="center"/>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38.23%</w:t>
            </w:r>
          </w:p>
        </w:tc>
      </w:tr>
      <w:tr w:rsidR="000F7C00" w:rsidRPr="000E5B76" w14:paraId="6402473B" w14:textId="77777777" w:rsidTr="00211FA3">
        <w:tblPrEx>
          <w:jc w:val="left"/>
        </w:tblPrEx>
        <w:trPr>
          <w:trHeight w:val="130"/>
        </w:trPr>
        <w:tc>
          <w:tcPr>
            <w:tcW w:w="4050" w:type="dxa"/>
            <w:gridSpan w:val="2"/>
            <w:tcBorders>
              <w:top w:val="nil"/>
              <w:left w:val="nil"/>
              <w:bottom w:val="nil"/>
              <w:right w:val="nil"/>
            </w:tcBorders>
            <w:shd w:val="clear" w:color="auto" w:fill="auto"/>
            <w:noWrap/>
            <w:vAlign w:val="bottom"/>
            <w:hideMark/>
          </w:tcPr>
          <w:p w14:paraId="45556119" w14:textId="77777777" w:rsidR="000F7C00" w:rsidRPr="00F055F4" w:rsidRDefault="000F7C00" w:rsidP="00211FA3">
            <w:pPr>
              <w:spacing w:after="0" w:line="240" w:lineRule="auto"/>
              <w:jc w:val="right"/>
              <w:rPr>
                <w:rFonts w:ascii="Times New Roman" w:eastAsia="Times New Roman" w:hAnsi="Times New Roman" w:cs="Times New Roman"/>
                <w:color w:val="000000"/>
                <w:sz w:val="24"/>
                <w:szCs w:val="24"/>
              </w:rPr>
            </w:pPr>
          </w:p>
        </w:tc>
        <w:tc>
          <w:tcPr>
            <w:tcW w:w="2407" w:type="dxa"/>
            <w:gridSpan w:val="2"/>
            <w:tcBorders>
              <w:top w:val="nil"/>
              <w:left w:val="nil"/>
              <w:bottom w:val="nil"/>
              <w:right w:val="nil"/>
            </w:tcBorders>
            <w:shd w:val="clear" w:color="auto" w:fill="auto"/>
            <w:noWrap/>
            <w:vAlign w:val="bottom"/>
            <w:hideMark/>
          </w:tcPr>
          <w:p w14:paraId="777AE79A" w14:textId="77777777" w:rsidR="000F7C00" w:rsidRPr="00F055F4" w:rsidRDefault="000F7C00" w:rsidP="00211FA3">
            <w:pPr>
              <w:spacing w:after="0" w:line="240" w:lineRule="auto"/>
              <w:jc w:val="center"/>
              <w:rPr>
                <w:rFonts w:ascii="Times New Roman" w:eastAsia="Times New Roman" w:hAnsi="Times New Roman" w:cs="Times New Roman"/>
                <w:sz w:val="24"/>
                <w:szCs w:val="24"/>
              </w:rPr>
            </w:pPr>
          </w:p>
        </w:tc>
        <w:tc>
          <w:tcPr>
            <w:tcW w:w="2408" w:type="dxa"/>
            <w:gridSpan w:val="2"/>
            <w:tcBorders>
              <w:top w:val="nil"/>
              <w:left w:val="nil"/>
              <w:bottom w:val="nil"/>
              <w:right w:val="nil"/>
            </w:tcBorders>
            <w:shd w:val="clear" w:color="auto" w:fill="auto"/>
            <w:noWrap/>
            <w:vAlign w:val="bottom"/>
            <w:hideMark/>
          </w:tcPr>
          <w:p w14:paraId="4113F1E3" w14:textId="77777777" w:rsidR="000F7C00" w:rsidRPr="00F055F4" w:rsidRDefault="000F7C00" w:rsidP="00211FA3">
            <w:pPr>
              <w:spacing w:after="0" w:line="240" w:lineRule="auto"/>
              <w:jc w:val="center"/>
              <w:rPr>
                <w:rFonts w:ascii="Times New Roman" w:eastAsia="Times New Roman" w:hAnsi="Times New Roman" w:cs="Times New Roman"/>
                <w:sz w:val="24"/>
                <w:szCs w:val="24"/>
              </w:rPr>
            </w:pPr>
          </w:p>
        </w:tc>
        <w:tc>
          <w:tcPr>
            <w:tcW w:w="2407" w:type="dxa"/>
            <w:gridSpan w:val="2"/>
            <w:tcBorders>
              <w:top w:val="nil"/>
              <w:left w:val="nil"/>
              <w:bottom w:val="nil"/>
              <w:right w:val="nil"/>
            </w:tcBorders>
            <w:shd w:val="clear" w:color="auto" w:fill="auto"/>
            <w:noWrap/>
            <w:vAlign w:val="bottom"/>
            <w:hideMark/>
          </w:tcPr>
          <w:p w14:paraId="35335D85" w14:textId="77777777" w:rsidR="000F7C00" w:rsidRPr="00F055F4" w:rsidRDefault="000F7C00" w:rsidP="00211FA3">
            <w:pPr>
              <w:spacing w:after="0" w:line="240" w:lineRule="auto"/>
              <w:jc w:val="center"/>
              <w:rPr>
                <w:rFonts w:ascii="Times New Roman" w:eastAsia="Times New Roman" w:hAnsi="Times New Roman" w:cs="Times New Roman"/>
                <w:sz w:val="24"/>
                <w:szCs w:val="24"/>
              </w:rPr>
            </w:pPr>
          </w:p>
        </w:tc>
        <w:tc>
          <w:tcPr>
            <w:tcW w:w="2408" w:type="dxa"/>
            <w:gridSpan w:val="2"/>
            <w:tcBorders>
              <w:top w:val="nil"/>
              <w:left w:val="nil"/>
              <w:bottom w:val="nil"/>
              <w:right w:val="nil"/>
            </w:tcBorders>
            <w:shd w:val="clear" w:color="auto" w:fill="auto"/>
            <w:noWrap/>
            <w:vAlign w:val="bottom"/>
            <w:hideMark/>
          </w:tcPr>
          <w:p w14:paraId="0E9778CF" w14:textId="77777777" w:rsidR="000F7C00" w:rsidRPr="00F055F4" w:rsidRDefault="000F7C00" w:rsidP="00211FA3">
            <w:pPr>
              <w:spacing w:after="0" w:line="240" w:lineRule="auto"/>
              <w:jc w:val="center"/>
              <w:rPr>
                <w:rFonts w:ascii="Times New Roman" w:eastAsia="Times New Roman" w:hAnsi="Times New Roman" w:cs="Times New Roman"/>
                <w:sz w:val="24"/>
                <w:szCs w:val="24"/>
              </w:rPr>
            </w:pPr>
          </w:p>
        </w:tc>
      </w:tr>
      <w:tr w:rsidR="000F7C00" w:rsidRPr="000E5B76" w14:paraId="0343E5AF" w14:textId="77777777" w:rsidTr="00211FA3">
        <w:tblPrEx>
          <w:jc w:val="left"/>
        </w:tblPrEx>
        <w:trPr>
          <w:trHeight w:val="576"/>
        </w:trPr>
        <w:tc>
          <w:tcPr>
            <w:tcW w:w="4050" w:type="dxa"/>
            <w:gridSpan w:val="2"/>
            <w:tcBorders>
              <w:top w:val="nil"/>
              <w:left w:val="nil"/>
              <w:bottom w:val="nil"/>
              <w:right w:val="nil"/>
            </w:tcBorders>
            <w:shd w:val="clear" w:color="auto" w:fill="auto"/>
            <w:noWrap/>
            <w:vAlign w:val="bottom"/>
            <w:hideMark/>
          </w:tcPr>
          <w:p w14:paraId="46739ED1" w14:textId="77777777" w:rsidR="000F7C00" w:rsidRPr="00F055F4" w:rsidRDefault="000F7C00" w:rsidP="00211FA3">
            <w:pPr>
              <w:spacing w:after="0" w:line="240" w:lineRule="auto"/>
              <w:rPr>
                <w:rFonts w:ascii="Times New Roman" w:eastAsia="Times New Roman" w:hAnsi="Times New Roman" w:cs="Times New Roman"/>
                <w:color w:val="000000"/>
                <w:sz w:val="24"/>
                <w:szCs w:val="24"/>
              </w:rPr>
            </w:pPr>
            <w:r w:rsidRPr="00A44656">
              <w:rPr>
                <w:rFonts w:ascii="Times New Roman" w:eastAsia="Times New Roman" w:hAnsi="Times New Roman" w:cs="Times New Roman"/>
                <w:b/>
                <w:color w:val="000000"/>
                <w:sz w:val="24"/>
                <w:szCs w:val="24"/>
              </w:rPr>
              <w:t>Panel B: 2018 Simulations</w:t>
            </w:r>
          </w:p>
        </w:tc>
        <w:tc>
          <w:tcPr>
            <w:tcW w:w="2407" w:type="dxa"/>
            <w:gridSpan w:val="2"/>
            <w:tcBorders>
              <w:top w:val="nil"/>
              <w:left w:val="nil"/>
              <w:bottom w:val="nil"/>
              <w:right w:val="nil"/>
            </w:tcBorders>
            <w:shd w:val="clear" w:color="auto" w:fill="auto"/>
            <w:noWrap/>
            <w:vAlign w:val="bottom"/>
            <w:hideMark/>
          </w:tcPr>
          <w:p w14:paraId="5CA07F7B" w14:textId="77777777" w:rsidR="000F7C00" w:rsidRPr="00F055F4" w:rsidRDefault="000F7C00" w:rsidP="00211FA3">
            <w:pPr>
              <w:spacing w:after="0" w:line="240" w:lineRule="auto"/>
              <w:jc w:val="center"/>
              <w:rPr>
                <w:rFonts w:ascii="Times New Roman" w:eastAsia="Times New Roman" w:hAnsi="Times New Roman" w:cs="Times New Roman"/>
                <w:color w:val="000000"/>
                <w:sz w:val="24"/>
                <w:szCs w:val="24"/>
              </w:rPr>
            </w:pPr>
          </w:p>
        </w:tc>
        <w:tc>
          <w:tcPr>
            <w:tcW w:w="2408" w:type="dxa"/>
            <w:gridSpan w:val="2"/>
            <w:tcBorders>
              <w:top w:val="nil"/>
              <w:left w:val="nil"/>
              <w:bottom w:val="nil"/>
              <w:right w:val="nil"/>
            </w:tcBorders>
            <w:shd w:val="clear" w:color="auto" w:fill="auto"/>
            <w:noWrap/>
            <w:vAlign w:val="bottom"/>
            <w:hideMark/>
          </w:tcPr>
          <w:p w14:paraId="14477D6F" w14:textId="77777777" w:rsidR="000F7C00" w:rsidRPr="00F055F4" w:rsidRDefault="000F7C00" w:rsidP="00211FA3">
            <w:pPr>
              <w:spacing w:after="0" w:line="240" w:lineRule="auto"/>
              <w:jc w:val="center"/>
              <w:rPr>
                <w:rFonts w:ascii="Times New Roman" w:eastAsia="Times New Roman" w:hAnsi="Times New Roman" w:cs="Times New Roman"/>
                <w:sz w:val="24"/>
                <w:szCs w:val="24"/>
              </w:rPr>
            </w:pPr>
          </w:p>
        </w:tc>
        <w:tc>
          <w:tcPr>
            <w:tcW w:w="2407" w:type="dxa"/>
            <w:gridSpan w:val="2"/>
            <w:tcBorders>
              <w:top w:val="nil"/>
              <w:left w:val="nil"/>
              <w:bottom w:val="nil"/>
              <w:right w:val="nil"/>
            </w:tcBorders>
            <w:shd w:val="clear" w:color="auto" w:fill="auto"/>
            <w:noWrap/>
            <w:vAlign w:val="bottom"/>
            <w:hideMark/>
          </w:tcPr>
          <w:p w14:paraId="15A3C672" w14:textId="77777777" w:rsidR="000F7C00" w:rsidRPr="00F055F4" w:rsidRDefault="000F7C00" w:rsidP="00211FA3">
            <w:pPr>
              <w:spacing w:after="0" w:line="240" w:lineRule="auto"/>
              <w:jc w:val="center"/>
              <w:rPr>
                <w:rFonts w:ascii="Times New Roman" w:eastAsia="Times New Roman" w:hAnsi="Times New Roman" w:cs="Times New Roman"/>
                <w:sz w:val="24"/>
                <w:szCs w:val="24"/>
              </w:rPr>
            </w:pPr>
          </w:p>
        </w:tc>
        <w:tc>
          <w:tcPr>
            <w:tcW w:w="2408" w:type="dxa"/>
            <w:gridSpan w:val="2"/>
            <w:tcBorders>
              <w:top w:val="nil"/>
              <w:left w:val="nil"/>
              <w:bottom w:val="nil"/>
              <w:right w:val="nil"/>
            </w:tcBorders>
            <w:shd w:val="clear" w:color="auto" w:fill="auto"/>
            <w:noWrap/>
            <w:vAlign w:val="bottom"/>
            <w:hideMark/>
          </w:tcPr>
          <w:p w14:paraId="4700C2F4" w14:textId="77777777" w:rsidR="000F7C00" w:rsidRPr="00F055F4" w:rsidRDefault="000F7C00" w:rsidP="00211FA3">
            <w:pPr>
              <w:spacing w:after="0" w:line="240" w:lineRule="auto"/>
              <w:jc w:val="center"/>
              <w:rPr>
                <w:rFonts w:ascii="Times New Roman" w:eastAsia="Times New Roman" w:hAnsi="Times New Roman" w:cs="Times New Roman"/>
                <w:sz w:val="24"/>
                <w:szCs w:val="24"/>
              </w:rPr>
            </w:pPr>
          </w:p>
        </w:tc>
      </w:tr>
      <w:tr w:rsidR="000F7C00" w:rsidRPr="000E5B76" w14:paraId="04CF78FB" w14:textId="77777777" w:rsidTr="00211FA3">
        <w:tblPrEx>
          <w:jc w:val="left"/>
        </w:tblPrEx>
        <w:trPr>
          <w:trHeight w:val="280"/>
        </w:trPr>
        <w:tc>
          <w:tcPr>
            <w:tcW w:w="4050" w:type="dxa"/>
            <w:gridSpan w:val="2"/>
            <w:tcBorders>
              <w:top w:val="nil"/>
              <w:left w:val="nil"/>
              <w:bottom w:val="nil"/>
              <w:right w:val="nil"/>
            </w:tcBorders>
            <w:shd w:val="clear" w:color="auto" w:fill="auto"/>
            <w:noWrap/>
            <w:vAlign w:val="bottom"/>
            <w:hideMark/>
          </w:tcPr>
          <w:p w14:paraId="5ECF1249" w14:textId="77777777" w:rsidR="000F7C00" w:rsidRPr="003073D6" w:rsidRDefault="000F7C00" w:rsidP="00211FA3">
            <w:pPr>
              <w:spacing w:after="0" w:line="240" w:lineRule="auto"/>
              <w:rPr>
                <w:rFonts w:ascii="Times New Roman" w:eastAsia="Times New Roman" w:hAnsi="Times New Roman" w:cs="Times New Roman"/>
                <w:i/>
                <w:color w:val="000000"/>
                <w:sz w:val="24"/>
                <w:szCs w:val="24"/>
              </w:rPr>
            </w:pPr>
            <w:r w:rsidRPr="00F055F4">
              <w:rPr>
                <w:rFonts w:ascii="Times New Roman" w:eastAsia="Times New Roman" w:hAnsi="Times New Roman" w:cs="Times New Roman"/>
                <w:color w:val="000000"/>
                <w:sz w:val="24"/>
                <w:szCs w:val="24"/>
              </w:rPr>
              <w:t xml:space="preserve">     </w:t>
            </w:r>
            <w:r w:rsidRPr="003073D6">
              <w:rPr>
                <w:rFonts w:ascii="Times New Roman" w:eastAsia="Times New Roman" w:hAnsi="Times New Roman" w:cs="Times New Roman"/>
                <w:i/>
                <w:color w:val="000000"/>
                <w:sz w:val="24"/>
                <w:szCs w:val="24"/>
              </w:rPr>
              <w:t>Distribution Method</w:t>
            </w:r>
          </w:p>
        </w:tc>
        <w:tc>
          <w:tcPr>
            <w:tcW w:w="2407" w:type="dxa"/>
            <w:gridSpan w:val="2"/>
            <w:tcBorders>
              <w:top w:val="nil"/>
              <w:left w:val="nil"/>
              <w:bottom w:val="nil"/>
              <w:right w:val="nil"/>
            </w:tcBorders>
            <w:shd w:val="clear" w:color="auto" w:fill="auto"/>
            <w:noWrap/>
            <w:vAlign w:val="bottom"/>
            <w:hideMark/>
          </w:tcPr>
          <w:p w14:paraId="48FD5EB3" w14:textId="77777777" w:rsidR="000F7C00" w:rsidRPr="00F055F4" w:rsidRDefault="000F7C00" w:rsidP="00211FA3">
            <w:pPr>
              <w:spacing w:after="0" w:line="240" w:lineRule="auto"/>
              <w:jc w:val="center"/>
              <w:rPr>
                <w:rFonts w:ascii="Times New Roman" w:eastAsia="Times New Roman" w:hAnsi="Times New Roman" w:cs="Times New Roman"/>
                <w:color w:val="000000"/>
                <w:sz w:val="24"/>
                <w:szCs w:val="24"/>
              </w:rPr>
            </w:pPr>
          </w:p>
        </w:tc>
        <w:tc>
          <w:tcPr>
            <w:tcW w:w="2408" w:type="dxa"/>
            <w:gridSpan w:val="2"/>
            <w:tcBorders>
              <w:top w:val="nil"/>
              <w:left w:val="nil"/>
              <w:bottom w:val="nil"/>
              <w:right w:val="nil"/>
            </w:tcBorders>
            <w:shd w:val="clear" w:color="auto" w:fill="auto"/>
            <w:noWrap/>
            <w:vAlign w:val="bottom"/>
            <w:hideMark/>
          </w:tcPr>
          <w:p w14:paraId="3B26E440" w14:textId="77777777" w:rsidR="000F7C00" w:rsidRPr="00F055F4" w:rsidRDefault="000F7C00" w:rsidP="00211FA3">
            <w:pPr>
              <w:spacing w:after="0" w:line="240" w:lineRule="auto"/>
              <w:jc w:val="center"/>
              <w:rPr>
                <w:rFonts w:ascii="Times New Roman" w:eastAsia="Times New Roman" w:hAnsi="Times New Roman" w:cs="Times New Roman"/>
                <w:sz w:val="24"/>
                <w:szCs w:val="24"/>
              </w:rPr>
            </w:pPr>
          </w:p>
        </w:tc>
        <w:tc>
          <w:tcPr>
            <w:tcW w:w="2407" w:type="dxa"/>
            <w:gridSpan w:val="2"/>
            <w:tcBorders>
              <w:top w:val="nil"/>
              <w:left w:val="nil"/>
              <w:bottom w:val="nil"/>
              <w:right w:val="nil"/>
            </w:tcBorders>
            <w:shd w:val="clear" w:color="auto" w:fill="auto"/>
            <w:noWrap/>
            <w:vAlign w:val="bottom"/>
            <w:hideMark/>
          </w:tcPr>
          <w:p w14:paraId="5E0F4251" w14:textId="77777777" w:rsidR="000F7C00" w:rsidRPr="00F055F4" w:rsidRDefault="000F7C00" w:rsidP="00211FA3">
            <w:pPr>
              <w:spacing w:after="0" w:line="240" w:lineRule="auto"/>
              <w:jc w:val="center"/>
              <w:rPr>
                <w:rFonts w:ascii="Times New Roman" w:eastAsia="Times New Roman" w:hAnsi="Times New Roman" w:cs="Times New Roman"/>
                <w:sz w:val="24"/>
                <w:szCs w:val="24"/>
              </w:rPr>
            </w:pPr>
          </w:p>
        </w:tc>
        <w:tc>
          <w:tcPr>
            <w:tcW w:w="2408" w:type="dxa"/>
            <w:gridSpan w:val="2"/>
            <w:tcBorders>
              <w:top w:val="nil"/>
              <w:left w:val="nil"/>
              <w:bottom w:val="nil"/>
              <w:right w:val="nil"/>
            </w:tcBorders>
            <w:shd w:val="clear" w:color="auto" w:fill="auto"/>
            <w:noWrap/>
            <w:vAlign w:val="bottom"/>
            <w:hideMark/>
          </w:tcPr>
          <w:p w14:paraId="0A6FF9D1" w14:textId="77777777" w:rsidR="000F7C00" w:rsidRPr="00F055F4" w:rsidRDefault="000F7C00" w:rsidP="00211FA3">
            <w:pPr>
              <w:spacing w:after="0" w:line="240" w:lineRule="auto"/>
              <w:jc w:val="center"/>
              <w:rPr>
                <w:rFonts w:ascii="Times New Roman" w:eastAsia="Times New Roman" w:hAnsi="Times New Roman" w:cs="Times New Roman"/>
                <w:sz w:val="24"/>
                <w:szCs w:val="24"/>
              </w:rPr>
            </w:pPr>
          </w:p>
        </w:tc>
      </w:tr>
      <w:tr w:rsidR="003172D6" w:rsidRPr="000E5B76" w14:paraId="2ECBB322" w14:textId="77777777" w:rsidTr="00AF181E">
        <w:tblPrEx>
          <w:jc w:val="left"/>
        </w:tblPrEx>
        <w:trPr>
          <w:trHeight w:val="280"/>
        </w:trPr>
        <w:tc>
          <w:tcPr>
            <w:tcW w:w="4050" w:type="dxa"/>
            <w:gridSpan w:val="2"/>
            <w:tcBorders>
              <w:top w:val="nil"/>
              <w:left w:val="nil"/>
              <w:bottom w:val="nil"/>
              <w:right w:val="nil"/>
            </w:tcBorders>
            <w:shd w:val="clear" w:color="auto" w:fill="auto"/>
            <w:noWrap/>
            <w:vAlign w:val="bottom"/>
            <w:hideMark/>
          </w:tcPr>
          <w:p w14:paraId="2660F58D" w14:textId="77777777" w:rsidR="003172D6" w:rsidRPr="00F055F4" w:rsidRDefault="003172D6" w:rsidP="003172D6">
            <w:pPr>
              <w:spacing w:after="0" w:line="240" w:lineRule="auto"/>
              <w:rPr>
                <w:rFonts w:ascii="Times New Roman" w:eastAsia="Times New Roman" w:hAnsi="Times New Roman" w:cs="Times New Roman"/>
                <w:color w:val="000000"/>
                <w:sz w:val="24"/>
                <w:szCs w:val="24"/>
              </w:rPr>
            </w:pPr>
            <w:r w:rsidRPr="00A446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1) R</w:t>
            </w:r>
            <w:r w:rsidRPr="0066434B">
              <w:rPr>
                <w:rFonts w:ascii="Times New Roman" w:eastAsia="Times New Roman" w:hAnsi="Times New Roman" w:cs="Times New Roman"/>
                <w:color w:val="000000"/>
                <w:sz w:val="24"/>
                <w:szCs w:val="24"/>
              </w:rPr>
              <w:t xml:space="preserve">aise BA </w:t>
            </w:r>
            <w:r>
              <w:rPr>
                <w:rFonts w:ascii="Times New Roman" w:eastAsia="Times New Roman" w:hAnsi="Times New Roman" w:cs="Times New Roman"/>
                <w:color w:val="000000"/>
                <w:sz w:val="24"/>
                <w:szCs w:val="24"/>
              </w:rPr>
              <w:t xml:space="preserve">share </w:t>
            </w:r>
            <w:r w:rsidRPr="0066434B">
              <w:rPr>
                <w:rFonts w:ascii="Times New Roman" w:eastAsia="Times New Roman" w:hAnsi="Times New Roman" w:cs="Times New Roman"/>
                <w:color w:val="000000"/>
                <w:sz w:val="24"/>
                <w:szCs w:val="24"/>
              </w:rPr>
              <w:t>to 50%</w:t>
            </w:r>
          </w:p>
        </w:tc>
        <w:tc>
          <w:tcPr>
            <w:tcW w:w="2407" w:type="dxa"/>
            <w:gridSpan w:val="2"/>
            <w:tcBorders>
              <w:top w:val="nil"/>
              <w:left w:val="nil"/>
              <w:bottom w:val="nil"/>
              <w:right w:val="nil"/>
            </w:tcBorders>
            <w:shd w:val="clear" w:color="auto" w:fill="auto"/>
            <w:noWrap/>
            <w:vAlign w:val="bottom"/>
            <w:hideMark/>
          </w:tcPr>
          <w:p w14:paraId="70B8D6D2" w14:textId="0B6A5C8C" w:rsidR="003172D6" w:rsidRPr="003172D6" w:rsidRDefault="003172D6" w:rsidP="003172D6">
            <w:pPr>
              <w:spacing w:after="0" w:line="240" w:lineRule="auto"/>
              <w:jc w:val="center"/>
              <w:rPr>
                <w:rFonts w:ascii="Times New Roman" w:eastAsia="Times New Roman" w:hAnsi="Times New Roman" w:cs="Times New Roman"/>
                <w:color w:val="000000"/>
                <w:sz w:val="24"/>
                <w:szCs w:val="24"/>
              </w:rPr>
            </w:pPr>
            <w:r w:rsidRPr="003172D6">
              <w:rPr>
                <w:rFonts w:ascii="Times New Roman" w:hAnsi="Times New Roman" w:cs="Times New Roman"/>
                <w:color w:val="000000"/>
                <w:sz w:val="24"/>
                <w:szCs w:val="24"/>
              </w:rPr>
              <w:t>6.88%</w:t>
            </w:r>
          </w:p>
        </w:tc>
        <w:tc>
          <w:tcPr>
            <w:tcW w:w="2408" w:type="dxa"/>
            <w:gridSpan w:val="2"/>
            <w:tcBorders>
              <w:top w:val="nil"/>
              <w:left w:val="nil"/>
              <w:bottom w:val="nil"/>
              <w:right w:val="nil"/>
            </w:tcBorders>
            <w:shd w:val="clear" w:color="auto" w:fill="auto"/>
            <w:noWrap/>
            <w:vAlign w:val="bottom"/>
            <w:hideMark/>
          </w:tcPr>
          <w:p w14:paraId="7E1623C1" w14:textId="14C0BC20" w:rsidR="003172D6" w:rsidRPr="003172D6" w:rsidRDefault="003172D6" w:rsidP="003172D6">
            <w:pPr>
              <w:spacing w:after="0" w:line="240" w:lineRule="auto"/>
              <w:jc w:val="center"/>
              <w:rPr>
                <w:rFonts w:ascii="Times New Roman" w:eastAsia="Times New Roman" w:hAnsi="Times New Roman" w:cs="Times New Roman"/>
                <w:color w:val="000000"/>
                <w:sz w:val="24"/>
                <w:szCs w:val="24"/>
              </w:rPr>
            </w:pPr>
            <w:r w:rsidRPr="003172D6">
              <w:rPr>
                <w:rFonts w:ascii="Times New Roman" w:hAnsi="Times New Roman" w:cs="Times New Roman"/>
                <w:color w:val="000000"/>
                <w:sz w:val="24"/>
                <w:szCs w:val="24"/>
              </w:rPr>
              <w:t>15.24%</w:t>
            </w:r>
          </w:p>
        </w:tc>
        <w:tc>
          <w:tcPr>
            <w:tcW w:w="2407" w:type="dxa"/>
            <w:gridSpan w:val="2"/>
            <w:tcBorders>
              <w:top w:val="nil"/>
              <w:left w:val="nil"/>
              <w:bottom w:val="nil"/>
              <w:right w:val="nil"/>
            </w:tcBorders>
            <w:shd w:val="clear" w:color="auto" w:fill="auto"/>
            <w:noWrap/>
            <w:vAlign w:val="bottom"/>
            <w:hideMark/>
          </w:tcPr>
          <w:p w14:paraId="3266B1DA" w14:textId="66E08E06" w:rsidR="003172D6" w:rsidRPr="003172D6" w:rsidRDefault="003172D6" w:rsidP="003172D6">
            <w:pPr>
              <w:spacing w:after="0" w:line="240" w:lineRule="auto"/>
              <w:jc w:val="center"/>
              <w:rPr>
                <w:rFonts w:ascii="Times New Roman" w:eastAsia="Times New Roman" w:hAnsi="Times New Roman" w:cs="Times New Roman"/>
                <w:color w:val="000000"/>
                <w:sz w:val="24"/>
                <w:szCs w:val="24"/>
              </w:rPr>
            </w:pPr>
            <w:r w:rsidRPr="003172D6">
              <w:rPr>
                <w:rFonts w:ascii="Times New Roman" w:hAnsi="Times New Roman" w:cs="Times New Roman"/>
                <w:color w:val="000000"/>
                <w:sz w:val="24"/>
                <w:szCs w:val="24"/>
              </w:rPr>
              <w:t>25.09%</w:t>
            </w:r>
          </w:p>
        </w:tc>
        <w:tc>
          <w:tcPr>
            <w:tcW w:w="2408" w:type="dxa"/>
            <w:gridSpan w:val="2"/>
            <w:tcBorders>
              <w:top w:val="nil"/>
              <w:left w:val="nil"/>
              <w:bottom w:val="nil"/>
              <w:right w:val="nil"/>
            </w:tcBorders>
            <w:shd w:val="clear" w:color="auto" w:fill="auto"/>
            <w:noWrap/>
            <w:vAlign w:val="bottom"/>
            <w:hideMark/>
          </w:tcPr>
          <w:p w14:paraId="28C1D316" w14:textId="7EA5A1F6" w:rsidR="003172D6" w:rsidRPr="003172D6" w:rsidRDefault="003172D6" w:rsidP="003172D6">
            <w:pPr>
              <w:spacing w:after="0" w:line="240" w:lineRule="auto"/>
              <w:jc w:val="center"/>
              <w:rPr>
                <w:rFonts w:ascii="Times New Roman" w:eastAsia="Times New Roman" w:hAnsi="Times New Roman" w:cs="Times New Roman"/>
                <w:color w:val="000000"/>
                <w:sz w:val="24"/>
                <w:szCs w:val="24"/>
              </w:rPr>
            </w:pPr>
            <w:r w:rsidRPr="003172D6">
              <w:rPr>
                <w:rFonts w:ascii="Times New Roman" w:hAnsi="Times New Roman" w:cs="Times New Roman"/>
                <w:color w:val="000000"/>
                <w:sz w:val="24"/>
                <w:szCs w:val="24"/>
              </w:rPr>
              <w:t>34.90%</w:t>
            </w:r>
          </w:p>
        </w:tc>
      </w:tr>
      <w:tr w:rsidR="003172D6" w:rsidRPr="000E5B76" w14:paraId="1202A425" w14:textId="77777777" w:rsidTr="00AF181E">
        <w:tblPrEx>
          <w:jc w:val="left"/>
        </w:tblPrEx>
        <w:trPr>
          <w:trHeight w:val="280"/>
        </w:trPr>
        <w:tc>
          <w:tcPr>
            <w:tcW w:w="4050" w:type="dxa"/>
            <w:gridSpan w:val="2"/>
            <w:tcBorders>
              <w:top w:val="nil"/>
              <w:left w:val="nil"/>
              <w:bottom w:val="nil"/>
              <w:right w:val="nil"/>
            </w:tcBorders>
            <w:shd w:val="clear" w:color="auto" w:fill="auto"/>
            <w:noWrap/>
            <w:vAlign w:val="bottom"/>
            <w:hideMark/>
          </w:tcPr>
          <w:p w14:paraId="57A3E569" w14:textId="77777777" w:rsidR="003172D6" w:rsidRPr="00F055F4" w:rsidRDefault="003172D6" w:rsidP="003172D6">
            <w:pPr>
              <w:spacing w:after="0" w:line="240" w:lineRule="auto"/>
              <w:rPr>
                <w:rFonts w:ascii="Times New Roman" w:eastAsia="Times New Roman" w:hAnsi="Times New Roman" w:cs="Times New Roman"/>
                <w:color w:val="000000"/>
                <w:sz w:val="24"/>
                <w:szCs w:val="24"/>
              </w:rPr>
            </w:pPr>
            <w:r w:rsidRPr="00A446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2) + Raise A</w:t>
            </w:r>
            <w:r w:rsidRPr="0066434B">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share to 15</w:t>
            </w:r>
            <w:r w:rsidRPr="0066434B">
              <w:rPr>
                <w:rFonts w:ascii="Times New Roman" w:eastAsia="Times New Roman" w:hAnsi="Times New Roman" w:cs="Times New Roman"/>
                <w:color w:val="000000"/>
                <w:sz w:val="24"/>
                <w:szCs w:val="24"/>
              </w:rPr>
              <w:t>%</w:t>
            </w:r>
          </w:p>
        </w:tc>
        <w:tc>
          <w:tcPr>
            <w:tcW w:w="2407" w:type="dxa"/>
            <w:gridSpan w:val="2"/>
            <w:tcBorders>
              <w:top w:val="nil"/>
              <w:left w:val="nil"/>
              <w:bottom w:val="nil"/>
              <w:right w:val="nil"/>
            </w:tcBorders>
            <w:shd w:val="clear" w:color="auto" w:fill="auto"/>
            <w:noWrap/>
            <w:vAlign w:val="bottom"/>
            <w:hideMark/>
          </w:tcPr>
          <w:p w14:paraId="45A4C09D" w14:textId="3AF91926" w:rsidR="003172D6" w:rsidRPr="003172D6" w:rsidRDefault="003172D6" w:rsidP="003172D6">
            <w:pPr>
              <w:spacing w:after="0" w:line="240" w:lineRule="auto"/>
              <w:jc w:val="center"/>
              <w:rPr>
                <w:rFonts w:ascii="Times New Roman" w:eastAsia="Times New Roman" w:hAnsi="Times New Roman" w:cs="Times New Roman"/>
                <w:color w:val="000000"/>
                <w:sz w:val="24"/>
                <w:szCs w:val="24"/>
              </w:rPr>
            </w:pPr>
            <w:r w:rsidRPr="003172D6">
              <w:rPr>
                <w:rFonts w:ascii="Times New Roman" w:hAnsi="Times New Roman" w:cs="Times New Roman"/>
                <w:color w:val="000000"/>
                <w:sz w:val="24"/>
                <w:szCs w:val="24"/>
              </w:rPr>
              <w:t>6.78%</w:t>
            </w:r>
          </w:p>
        </w:tc>
        <w:tc>
          <w:tcPr>
            <w:tcW w:w="2408" w:type="dxa"/>
            <w:gridSpan w:val="2"/>
            <w:tcBorders>
              <w:top w:val="nil"/>
              <w:left w:val="nil"/>
              <w:bottom w:val="nil"/>
              <w:right w:val="nil"/>
            </w:tcBorders>
            <w:shd w:val="clear" w:color="auto" w:fill="auto"/>
            <w:noWrap/>
            <w:vAlign w:val="bottom"/>
            <w:hideMark/>
          </w:tcPr>
          <w:p w14:paraId="5C7E2E36" w14:textId="0AB0AC98" w:rsidR="003172D6" w:rsidRPr="003172D6" w:rsidRDefault="003172D6" w:rsidP="003172D6">
            <w:pPr>
              <w:spacing w:after="0" w:line="240" w:lineRule="auto"/>
              <w:jc w:val="center"/>
              <w:rPr>
                <w:rFonts w:ascii="Times New Roman" w:eastAsia="Times New Roman" w:hAnsi="Times New Roman" w:cs="Times New Roman"/>
                <w:color w:val="000000"/>
                <w:sz w:val="24"/>
                <w:szCs w:val="24"/>
              </w:rPr>
            </w:pPr>
            <w:r w:rsidRPr="003172D6">
              <w:rPr>
                <w:rFonts w:ascii="Times New Roman" w:hAnsi="Times New Roman" w:cs="Times New Roman"/>
                <w:color w:val="000000"/>
                <w:sz w:val="24"/>
                <w:szCs w:val="24"/>
              </w:rPr>
              <w:t>15.05%</w:t>
            </w:r>
          </w:p>
        </w:tc>
        <w:tc>
          <w:tcPr>
            <w:tcW w:w="2407" w:type="dxa"/>
            <w:gridSpan w:val="2"/>
            <w:tcBorders>
              <w:top w:val="nil"/>
              <w:left w:val="nil"/>
              <w:bottom w:val="nil"/>
              <w:right w:val="nil"/>
            </w:tcBorders>
            <w:shd w:val="clear" w:color="auto" w:fill="auto"/>
            <w:noWrap/>
            <w:vAlign w:val="bottom"/>
            <w:hideMark/>
          </w:tcPr>
          <w:p w14:paraId="6FBFAC06" w14:textId="650A6E9E" w:rsidR="003172D6" w:rsidRPr="003172D6" w:rsidRDefault="003172D6" w:rsidP="003172D6">
            <w:pPr>
              <w:spacing w:after="0" w:line="240" w:lineRule="auto"/>
              <w:jc w:val="center"/>
              <w:rPr>
                <w:rFonts w:ascii="Times New Roman" w:eastAsia="Times New Roman" w:hAnsi="Times New Roman" w:cs="Times New Roman"/>
                <w:color w:val="000000"/>
                <w:sz w:val="24"/>
                <w:szCs w:val="24"/>
              </w:rPr>
            </w:pPr>
            <w:r w:rsidRPr="003172D6">
              <w:rPr>
                <w:rFonts w:ascii="Times New Roman" w:hAnsi="Times New Roman" w:cs="Times New Roman"/>
                <w:color w:val="000000"/>
                <w:sz w:val="24"/>
                <w:szCs w:val="24"/>
              </w:rPr>
              <w:t>24.67%</w:t>
            </w:r>
          </w:p>
        </w:tc>
        <w:tc>
          <w:tcPr>
            <w:tcW w:w="2408" w:type="dxa"/>
            <w:gridSpan w:val="2"/>
            <w:tcBorders>
              <w:top w:val="nil"/>
              <w:left w:val="nil"/>
              <w:bottom w:val="nil"/>
              <w:right w:val="nil"/>
            </w:tcBorders>
            <w:shd w:val="clear" w:color="auto" w:fill="auto"/>
            <w:noWrap/>
            <w:vAlign w:val="bottom"/>
            <w:hideMark/>
          </w:tcPr>
          <w:p w14:paraId="27375D4A" w14:textId="003B22C6" w:rsidR="003172D6" w:rsidRPr="003172D6" w:rsidRDefault="003172D6" w:rsidP="003172D6">
            <w:pPr>
              <w:spacing w:after="0" w:line="240" w:lineRule="auto"/>
              <w:jc w:val="center"/>
              <w:rPr>
                <w:rFonts w:ascii="Times New Roman" w:eastAsia="Times New Roman" w:hAnsi="Times New Roman" w:cs="Times New Roman"/>
                <w:color w:val="000000"/>
                <w:sz w:val="24"/>
                <w:szCs w:val="24"/>
              </w:rPr>
            </w:pPr>
            <w:r w:rsidRPr="003172D6">
              <w:rPr>
                <w:rFonts w:ascii="Times New Roman" w:hAnsi="Times New Roman" w:cs="Times New Roman"/>
                <w:color w:val="000000"/>
                <w:sz w:val="24"/>
                <w:szCs w:val="24"/>
              </w:rPr>
              <w:t>34.40%</w:t>
            </w:r>
          </w:p>
        </w:tc>
      </w:tr>
      <w:tr w:rsidR="003172D6" w:rsidRPr="000E5B76" w14:paraId="16C24ED5" w14:textId="77777777" w:rsidTr="00AF181E">
        <w:tblPrEx>
          <w:jc w:val="left"/>
        </w:tblPrEx>
        <w:trPr>
          <w:trHeight w:val="280"/>
        </w:trPr>
        <w:tc>
          <w:tcPr>
            <w:tcW w:w="4050" w:type="dxa"/>
            <w:gridSpan w:val="2"/>
            <w:tcBorders>
              <w:top w:val="nil"/>
              <w:left w:val="nil"/>
              <w:bottom w:val="nil"/>
              <w:right w:val="nil"/>
            </w:tcBorders>
            <w:shd w:val="clear" w:color="auto" w:fill="auto"/>
            <w:noWrap/>
            <w:vAlign w:val="bottom"/>
            <w:hideMark/>
          </w:tcPr>
          <w:p w14:paraId="0A5FE521" w14:textId="77777777" w:rsidR="003172D6" w:rsidRPr="00F055F4" w:rsidRDefault="003172D6" w:rsidP="003172D6">
            <w:pPr>
              <w:spacing w:after="0" w:line="240" w:lineRule="auto"/>
              <w:rPr>
                <w:rFonts w:ascii="Times New Roman" w:eastAsia="Times New Roman" w:hAnsi="Times New Roman" w:cs="Times New Roman"/>
                <w:color w:val="000000"/>
                <w:sz w:val="24"/>
                <w:szCs w:val="24"/>
              </w:rPr>
            </w:pPr>
            <w:r w:rsidRPr="00A446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3) 6</w:t>
            </w:r>
            <w:r w:rsidRPr="0066434B">
              <w:rPr>
                <w:rFonts w:ascii="Times New Roman" w:eastAsia="Times New Roman" w:hAnsi="Times New Roman" w:cs="Times New Roman"/>
                <w:color w:val="000000"/>
                <w:sz w:val="24"/>
                <w:szCs w:val="24"/>
              </w:rPr>
              <w:t xml:space="preserve">0% </w:t>
            </w:r>
            <w:r>
              <w:rPr>
                <w:rFonts w:ascii="Times New Roman" w:eastAsia="Times New Roman" w:hAnsi="Times New Roman" w:cs="Times New Roman"/>
                <w:color w:val="000000"/>
                <w:sz w:val="24"/>
                <w:szCs w:val="24"/>
              </w:rPr>
              <w:t>B</w:t>
            </w:r>
            <w:r w:rsidRPr="0066434B">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share</w:t>
            </w:r>
            <w:r w:rsidRPr="0066434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w:t>
            </w:r>
            <w:r w:rsidRPr="0066434B">
              <w:rPr>
                <w:rFonts w:ascii="Times New Roman" w:eastAsia="Times New Roman" w:hAnsi="Times New Roman" w:cs="Times New Roman"/>
                <w:color w:val="000000"/>
                <w:sz w:val="24"/>
                <w:szCs w:val="24"/>
              </w:rPr>
              <w:t xml:space="preserve">0% </w:t>
            </w:r>
            <w:r>
              <w:rPr>
                <w:rFonts w:ascii="Times New Roman" w:eastAsia="Times New Roman" w:hAnsi="Times New Roman" w:cs="Times New Roman"/>
                <w:color w:val="000000"/>
                <w:sz w:val="24"/>
                <w:szCs w:val="24"/>
              </w:rPr>
              <w:t>A</w:t>
            </w:r>
            <w:r w:rsidRPr="0066434B">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share</w:t>
            </w:r>
          </w:p>
        </w:tc>
        <w:tc>
          <w:tcPr>
            <w:tcW w:w="2407" w:type="dxa"/>
            <w:gridSpan w:val="2"/>
            <w:tcBorders>
              <w:top w:val="nil"/>
              <w:left w:val="nil"/>
              <w:bottom w:val="nil"/>
              <w:right w:val="nil"/>
            </w:tcBorders>
            <w:shd w:val="clear" w:color="auto" w:fill="auto"/>
            <w:noWrap/>
            <w:vAlign w:val="bottom"/>
            <w:hideMark/>
          </w:tcPr>
          <w:p w14:paraId="1BE5D39F" w14:textId="764851CA" w:rsidR="003172D6" w:rsidRPr="003172D6" w:rsidRDefault="003172D6" w:rsidP="003172D6">
            <w:pPr>
              <w:spacing w:after="0" w:line="240" w:lineRule="auto"/>
              <w:jc w:val="center"/>
              <w:rPr>
                <w:rFonts w:ascii="Times New Roman" w:eastAsia="Times New Roman" w:hAnsi="Times New Roman" w:cs="Times New Roman"/>
                <w:color w:val="000000"/>
                <w:sz w:val="24"/>
                <w:szCs w:val="24"/>
              </w:rPr>
            </w:pPr>
            <w:r w:rsidRPr="003172D6">
              <w:rPr>
                <w:rFonts w:ascii="Times New Roman" w:hAnsi="Times New Roman" w:cs="Times New Roman"/>
                <w:color w:val="000000"/>
                <w:sz w:val="24"/>
                <w:szCs w:val="24"/>
              </w:rPr>
              <w:t>6.50%</w:t>
            </w:r>
          </w:p>
        </w:tc>
        <w:tc>
          <w:tcPr>
            <w:tcW w:w="2408" w:type="dxa"/>
            <w:gridSpan w:val="2"/>
            <w:tcBorders>
              <w:top w:val="nil"/>
              <w:left w:val="nil"/>
              <w:bottom w:val="nil"/>
              <w:right w:val="nil"/>
            </w:tcBorders>
            <w:shd w:val="clear" w:color="auto" w:fill="auto"/>
            <w:noWrap/>
            <w:vAlign w:val="bottom"/>
            <w:hideMark/>
          </w:tcPr>
          <w:p w14:paraId="5AF429D1" w14:textId="1832304B" w:rsidR="003172D6" w:rsidRPr="003172D6" w:rsidRDefault="003172D6" w:rsidP="003172D6">
            <w:pPr>
              <w:spacing w:after="0" w:line="240" w:lineRule="auto"/>
              <w:jc w:val="center"/>
              <w:rPr>
                <w:rFonts w:ascii="Times New Roman" w:eastAsia="Times New Roman" w:hAnsi="Times New Roman" w:cs="Times New Roman"/>
                <w:color w:val="000000"/>
                <w:sz w:val="24"/>
                <w:szCs w:val="24"/>
              </w:rPr>
            </w:pPr>
            <w:r w:rsidRPr="003172D6">
              <w:rPr>
                <w:rFonts w:ascii="Times New Roman" w:hAnsi="Times New Roman" w:cs="Times New Roman"/>
                <w:color w:val="000000"/>
                <w:sz w:val="24"/>
                <w:szCs w:val="24"/>
              </w:rPr>
              <w:t>13.47%</w:t>
            </w:r>
          </w:p>
        </w:tc>
        <w:tc>
          <w:tcPr>
            <w:tcW w:w="2407" w:type="dxa"/>
            <w:gridSpan w:val="2"/>
            <w:tcBorders>
              <w:top w:val="nil"/>
              <w:left w:val="nil"/>
              <w:bottom w:val="nil"/>
              <w:right w:val="nil"/>
            </w:tcBorders>
            <w:shd w:val="clear" w:color="auto" w:fill="auto"/>
            <w:noWrap/>
            <w:vAlign w:val="bottom"/>
            <w:hideMark/>
          </w:tcPr>
          <w:p w14:paraId="63F51376" w14:textId="5EA2BBBF" w:rsidR="003172D6" w:rsidRPr="003172D6" w:rsidRDefault="003172D6" w:rsidP="003172D6">
            <w:pPr>
              <w:spacing w:after="0" w:line="240" w:lineRule="auto"/>
              <w:jc w:val="center"/>
              <w:rPr>
                <w:rFonts w:ascii="Times New Roman" w:eastAsia="Times New Roman" w:hAnsi="Times New Roman" w:cs="Times New Roman"/>
                <w:color w:val="000000"/>
                <w:sz w:val="24"/>
                <w:szCs w:val="24"/>
              </w:rPr>
            </w:pPr>
            <w:r w:rsidRPr="003172D6">
              <w:rPr>
                <w:rFonts w:ascii="Times New Roman" w:hAnsi="Times New Roman" w:cs="Times New Roman"/>
                <w:color w:val="000000"/>
                <w:sz w:val="24"/>
                <w:szCs w:val="24"/>
              </w:rPr>
              <w:t>22.62%</w:t>
            </w:r>
          </w:p>
        </w:tc>
        <w:tc>
          <w:tcPr>
            <w:tcW w:w="2408" w:type="dxa"/>
            <w:gridSpan w:val="2"/>
            <w:tcBorders>
              <w:top w:val="nil"/>
              <w:left w:val="nil"/>
              <w:bottom w:val="nil"/>
              <w:right w:val="nil"/>
            </w:tcBorders>
            <w:shd w:val="clear" w:color="auto" w:fill="auto"/>
            <w:noWrap/>
            <w:vAlign w:val="bottom"/>
            <w:hideMark/>
          </w:tcPr>
          <w:p w14:paraId="4BF87C38" w14:textId="1A5A4EF1" w:rsidR="003172D6" w:rsidRPr="003172D6" w:rsidRDefault="003172D6" w:rsidP="003172D6">
            <w:pPr>
              <w:spacing w:after="0" w:line="240" w:lineRule="auto"/>
              <w:jc w:val="center"/>
              <w:rPr>
                <w:rFonts w:ascii="Times New Roman" w:eastAsia="Times New Roman" w:hAnsi="Times New Roman" w:cs="Times New Roman"/>
                <w:color w:val="000000"/>
                <w:sz w:val="24"/>
                <w:szCs w:val="24"/>
              </w:rPr>
            </w:pPr>
            <w:r w:rsidRPr="003172D6">
              <w:rPr>
                <w:rFonts w:ascii="Times New Roman" w:hAnsi="Times New Roman" w:cs="Times New Roman"/>
                <w:color w:val="000000"/>
                <w:sz w:val="24"/>
                <w:szCs w:val="24"/>
              </w:rPr>
              <w:t>32.21%</w:t>
            </w:r>
          </w:p>
        </w:tc>
      </w:tr>
      <w:tr w:rsidR="00B93667" w:rsidRPr="000E5B76" w14:paraId="0E84006A" w14:textId="77777777" w:rsidTr="00C07E62">
        <w:tblPrEx>
          <w:jc w:val="left"/>
        </w:tblPrEx>
        <w:trPr>
          <w:trHeight w:val="576"/>
        </w:trPr>
        <w:tc>
          <w:tcPr>
            <w:tcW w:w="4050" w:type="dxa"/>
            <w:gridSpan w:val="2"/>
            <w:tcBorders>
              <w:top w:val="nil"/>
              <w:left w:val="nil"/>
              <w:bottom w:val="nil"/>
              <w:right w:val="nil"/>
            </w:tcBorders>
            <w:shd w:val="clear" w:color="auto" w:fill="auto"/>
            <w:noWrap/>
            <w:vAlign w:val="bottom"/>
            <w:hideMark/>
          </w:tcPr>
          <w:p w14:paraId="3756F6BB" w14:textId="77777777" w:rsidR="00B93667" w:rsidRPr="003073D6" w:rsidRDefault="00B93667" w:rsidP="00B93667">
            <w:pPr>
              <w:spacing w:after="0" w:line="240" w:lineRule="auto"/>
              <w:rPr>
                <w:rFonts w:ascii="Times New Roman" w:eastAsia="Times New Roman" w:hAnsi="Times New Roman" w:cs="Times New Roman"/>
                <w:i/>
                <w:color w:val="000000"/>
                <w:sz w:val="24"/>
                <w:szCs w:val="24"/>
              </w:rPr>
            </w:pPr>
            <w:r w:rsidRPr="00F055F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3073D6">
              <w:rPr>
                <w:rFonts w:ascii="Times New Roman" w:eastAsia="Times New Roman" w:hAnsi="Times New Roman" w:cs="Times New Roman"/>
                <w:i/>
                <w:color w:val="000000"/>
                <w:sz w:val="24"/>
                <w:szCs w:val="24"/>
              </w:rPr>
              <w:t>Causal Parameter Method</w:t>
            </w:r>
          </w:p>
        </w:tc>
        <w:tc>
          <w:tcPr>
            <w:tcW w:w="2407" w:type="dxa"/>
            <w:gridSpan w:val="2"/>
            <w:tcBorders>
              <w:top w:val="nil"/>
              <w:left w:val="nil"/>
              <w:bottom w:val="nil"/>
              <w:right w:val="nil"/>
            </w:tcBorders>
            <w:shd w:val="clear" w:color="auto" w:fill="auto"/>
            <w:noWrap/>
            <w:vAlign w:val="bottom"/>
            <w:hideMark/>
          </w:tcPr>
          <w:p w14:paraId="1E442400" w14:textId="77777777" w:rsidR="00B93667" w:rsidRPr="003172D6" w:rsidRDefault="00B93667" w:rsidP="00B93667">
            <w:pPr>
              <w:spacing w:after="0" w:line="240" w:lineRule="auto"/>
              <w:jc w:val="center"/>
              <w:rPr>
                <w:rFonts w:ascii="Times New Roman" w:eastAsia="Times New Roman" w:hAnsi="Times New Roman" w:cs="Times New Roman"/>
                <w:color w:val="000000"/>
                <w:sz w:val="24"/>
                <w:szCs w:val="24"/>
              </w:rPr>
            </w:pPr>
          </w:p>
        </w:tc>
        <w:tc>
          <w:tcPr>
            <w:tcW w:w="2408" w:type="dxa"/>
            <w:gridSpan w:val="2"/>
            <w:tcBorders>
              <w:top w:val="nil"/>
              <w:left w:val="nil"/>
              <w:bottom w:val="nil"/>
              <w:right w:val="nil"/>
            </w:tcBorders>
            <w:shd w:val="clear" w:color="auto" w:fill="auto"/>
            <w:noWrap/>
            <w:vAlign w:val="bottom"/>
            <w:hideMark/>
          </w:tcPr>
          <w:p w14:paraId="3725D317" w14:textId="77777777" w:rsidR="00B93667" w:rsidRPr="003172D6" w:rsidRDefault="00B93667" w:rsidP="00B93667">
            <w:pPr>
              <w:spacing w:after="0" w:line="240" w:lineRule="auto"/>
              <w:jc w:val="center"/>
              <w:rPr>
                <w:rFonts w:ascii="Times New Roman" w:eastAsia="Times New Roman" w:hAnsi="Times New Roman" w:cs="Times New Roman"/>
                <w:sz w:val="24"/>
                <w:szCs w:val="24"/>
              </w:rPr>
            </w:pPr>
          </w:p>
        </w:tc>
        <w:tc>
          <w:tcPr>
            <w:tcW w:w="2407" w:type="dxa"/>
            <w:gridSpan w:val="2"/>
            <w:tcBorders>
              <w:top w:val="nil"/>
              <w:left w:val="nil"/>
              <w:bottom w:val="nil"/>
              <w:right w:val="nil"/>
            </w:tcBorders>
            <w:shd w:val="clear" w:color="auto" w:fill="auto"/>
            <w:noWrap/>
            <w:vAlign w:val="bottom"/>
            <w:hideMark/>
          </w:tcPr>
          <w:p w14:paraId="411FF0F2" w14:textId="77777777" w:rsidR="00B93667" w:rsidRPr="003172D6" w:rsidRDefault="00B93667" w:rsidP="00B93667">
            <w:pPr>
              <w:spacing w:after="0" w:line="240" w:lineRule="auto"/>
              <w:jc w:val="center"/>
              <w:rPr>
                <w:rFonts w:ascii="Times New Roman" w:eastAsia="Times New Roman" w:hAnsi="Times New Roman" w:cs="Times New Roman"/>
                <w:sz w:val="24"/>
                <w:szCs w:val="24"/>
              </w:rPr>
            </w:pPr>
          </w:p>
        </w:tc>
        <w:tc>
          <w:tcPr>
            <w:tcW w:w="2408" w:type="dxa"/>
            <w:gridSpan w:val="2"/>
            <w:tcBorders>
              <w:top w:val="nil"/>
              <w:left w:val="nil"/>
              <w:bottom w:val="nil"/>
              <w:right w:val="nil"/>
            </w:tcBorders>
            <w:shd w:val="clear" w:color="auto" w:fill="auto"/>
            <w:noWrap/>
            <w:vAlign w:val="bottom"/>
            <w:hideMark/>
          </w:tcPr>
          <w:p w14:paraId="016B5AB8" w14:textId="77777777" w:rsidR="00B93667" w:rsidRPr="003172D6" w:rsidRDefault="00B93667" w:rsidP="00B93667">
            <w:pPr>
              <w:spacing w:after="0" w:line="240" w:lineRule="auto"/>
              <w:jc w:val="center"/>
              <w:rPr>
                <w:rFonts w:ascii="Times New Roman" w:eastAsia="Times New Roman" w:hAnsi="Times New Roman" w:cs="Times New Roman"/>
                <w:sz w:val="24"/>
                <w:szCs w:val="24"/>
              </w:rPr>
            </w:pPr>
          </w:p>
        </w:tc>
      </w:tr>
      <w:tr w:rsidR="003172D6" w:rsidRPr="000E5B76" w14:paraId="56379461" w14:textId="77777777" w:rsidTr="00613A0A">
        <w:tblPrEx>
          <w:jc w:val="left"/>
        </w:tblPrEx>
        <w:trPr>
          <w:trHeight w:val="280"/>
        </w:trPr>
        <w:tc>
          <w:tcPr>
            <w:tcW w:w="4050" w:type="dxa"/>
            <w:gridSpan w:val="2"/>
            <w:tcBorders>
              <w:top w:val="nil"/>
              <w:left w:val="nil"/>
              <w:bottom w:val="nil"/>
              <w:right w:val="nil"/>
            </w:tcBorders>
            <w:shd w:val="clear" w:color="auto" w:fill="auto"/>
            <w:noWrap/>
            <w:vAlign w:val="bottom"/>
            <w:hideMark/>
          </w:tcPr>
          <w:p w14:paraId="7910A57E" w14:textId="77777777" w:rsidR="003172D6" w:rsidRPr="00F055F4" w:rsidRDefault="003172D6" w:rsidP="003172D6">
            <w:pPr>
              <w:spacing w:after="0" w:line="240" w:lineRule="auto"/>
              <w:rPr>
                <w:rFonts w:ascii="Times New Roman" w:eastAsia="Times New Roman" w:hAnsi="Times New Roman" w:cs="Times New Roman"/>
                <w:color w:val="000000"/>
                <w:sz w:val="24"/>
                <w:szCs w:val="24"/>
              </w:rPr>
            </w:pPr>
            <w:r w:rsidRPr="00A446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1) R</w:t>
            </w:r>
            <w:r w:rsidRPr="0066434B">
              <w:rPr>
                <w:rFonts w:ascii="Times New Roman" w:eastAsia="Times New Roman" w:hAnsi="Times New Roman" w:cs="Times New Roman"/>
                <w:color w:val="000000"/>
                <w:sz w:val="24"/>
                <w:szCs w:val="24"/>
              </w:rPr>
              <w:t xml:space="preserve">aise BA </w:t>
            </w:r>
            <w:r>
              <w:rPr>
                <w:rFonts w:ascii="Times New Roman" w:eastAsia="Times New Roman" w:hAnsi="Times New Roman" w:cs="Times New Roman"/>
                <w:color w:val="000000"/>
                <w:sz w:val="24"/>
                <w:szCs w:val="24"/>
              </w:rPr>
              <w:t xml:space="preserve">share </w:t>
            </w:r>
            <w:r w:rsidRPr="0066434B">
              <w:rPr>
                <w:rFonts w:ascii="Times New Roman" w:eastAsia="Times New Roman" w:hAnsi="Times New Roman" w:cs="Times New Roman"/>
                <w:color w:val="000000"/>
                <w:sz w:val="24"/>
                <w:szCs w:val="24"/>
              </w:rPr>
              <w:t>to 50%</w:t>
            </w:r>
          </w:p>
        </w:tc>
        <w:tc>
          <w:tcPr>
            <w:tcW w:w="2407" w:type="dxa"/>
            <w:gridSpan w:val="2"/>
            <w:tcBorders>
              <w:top w:val="nil"/>
              <w:left w:val="nil"/>
              <w:bottom w:val="nil"/>
              <w:right w:val="nil"/>
            </w:tcBorders>
            <w:shd w:val="clear" w:color="auto" w:fill="auto"/>
            <w:noWrap/>
            <w:vAlign w:val="bottom"/>
            <w:hideMark/>
          </w:tcPr>
          <w:p w14:paraId="0EA9C6F4" w14:textId="5441CA58" w:rsidR="003172D6" w:rsidRPr="003172D6" w:rsidRDefault="003172D6" w:rsidP="003172D6">
            <w:pPr>
              <w:spacing w:after="0" w:line="240" w:lineRule="auto"/>
              <w:jc w:val="center"/>
              <w:rPr>
                <w:rFonts w:ascii="Times New Roman" w:eastAsia="Times New Roman" w:hAnsi="Times New Roman" w:cs="Times New Roman"/>
                <w:color w:val="000000"/>
                <w:sz w:val="24"/>
                <w:szCs w:val="24"/>
              </w:rPr>
            </w:pPr>
            <w:r w:rsidRPr="003172D6">
              <w:rPr>
                <w:rFonts w:ascii="Times New Roman" w:hAnsi="Times New Roman" w:cs="Times New Roman"/>
                <w:color w:val="000000"/>
                <w:sz w:val="24"/>
                <w:szCs w:val="24"/>
              </w:rPr>
              <w:t>7.18%</w:t>
            </w:r>
          </w:p>
        </w:tc>
        <w:tc>
          <w:tcPr>
            <w:tcW w:w="2408" w:type="dxa"/>
            <w:gridSpan w:val="2"/>
            <w:tcBorders>
              <w:top w:val="nil"/>
              <w:left w:val="nil"/>
              <w:bottom w:val="nil"/>
              <w:right w:val="nil"/>
            </w:tcBorders>
            <w:shd w:val="clear" w:color="auto" w:fill="auto"/>
            <w:noWrap/>
            <w:vAlign w:val="bottom"/>
            <w:hideMark/>
          </w:tcPr>
          <w:p w14:paraId="2242375D" w14:textId="3FDDA017" w:rsidR="003172D6" w:rsidRPr="003172D6" w:rsidRDefault="003172D6" w:rsidP="003172D6">
            <w:pPr>
              <w:spacing w:after="0" w:line="240" w:lineRule="auto"/>
              <w:jc w:val="center"/>
              <w:rPr>
                <w:rFonts w:ascii="Times New Roman" w:eastAsia="Times New Roman" w:hAnsi="Times New Roman" w:cs="Times New Roman"/>
                <w:color w:val="000000"/>
                <w:sz w:val="24"/>
                <w:szCs w:val="24"/>
              </w:rPr>
            </w:pPr>
            <w:r w:rsidRPr="003172D6">
              <w:rPr>
                <w:rFonts w:ascii="Times New Roman" w:hAnsi="Times New Roman" w:cs="Times New Roman"/>
                <w:color w:val="000000"/>
                <w:sz w:val="24"/>
                <w:szCs w:val="24"/>
              </w:rPr>
              <w:t>15.87%</w:t>
            </w:r>
          </w:p>
        </w:tc>
        <w:tc>
          <w:tcPr>
            <w:tcW w:w="2407" w:type="dxa"/>
            <w:gridSpan w:val="2"/>
            <w:tcBorders>
              <w:top w:val="nil"/>
              <w:left w:val="nil"/>
              <w:bottom w:val="nil"/>
              <w:right w:val="nil"/>
            </w:tcBorders>
            <w:shd w:val="clear" w:color="auto" w:fill="auto"/>
            <w:noWrap/>
            <w:vAlign w:val="bottom"/>
            <w:hideMark/>
          </w:tcPr>
          <w:p w14:paraId="6152B184" w14:textId="7C682E7E" w:rsidR="003172D6" w:rsidRPr="003172D6" w:rsidRDefault="003172D6" w:rsidP="003172D6">
            <w:pPr>
              <w:spacing w:after="0" w:line="240" w:lineRule="auto"/>
              <w:jc w:val="center"/>
              <w:rPr>
                <w:rFonts w:ascii="Times New Roman" w:eastAsia="Times New Roman" w:hAnsi="Times New Roman" w:cs="Times New Roman"/>
                <w:color w:val="000000"/>
                <w:sz w:val="24"/>
                <w:szCs w:val="24"/>
              </w:rPr>
            </w:pPr>
            <w:r w:rsidRPr="003172D6">
              <w:rPr>
                <w:rFonts w:ascii="Times New Roman" w:hAnsi="Times New Roman" w:cs="Times New Roman"/>
                <w:color w:val="000000"/>
                <w:sz w:val="24"/>
                <w:szCs w:val="24"/>
              </w:rPr>
              <w:t>26.01%</w:t>
            </w:r>
          </w:p>
        </w:tc>
        <w:tc>
          <w:tcPr>
            <w:tcW w:w="2408" w:type="dxa"/>
            <w:gridSpan w:val="2"/>
            <w:tcBorders>
              <w:top w:val="nil"/>
              <w:left w:val="nil"/>
              <w:bottom w:val="nil"/>
              <w:right w:val="nil"/>
            </w:tcBorders>
            <w:shd w:val="clear" w:color="auto" w:fill="auto"/>
            <w:noWrap/>
            <w:vAlign w:val="bottom"/>
            <w:hideMark/>
          </w:tcPr>
          <w:p w14:paraId="3C7100C7" w14:textId="19A77250" w:rsidR="003172D6" w:rsidRPr="003172D6" w:rsidRDefault="003172D6" w:rsidP="003172D6">
            <w:pPr>
              <w:spacing w:after="0" w:line="240" w:lineRule="auto"/>
              <w:jc w:val="center"/>
              <w:rPr>
                <w:rFonts w:ascii="Times New Roman" w:eastAsia="Times New Roman" w:hAnsi="Times New Roman" w:cs="Times New Roman"/>
                <w:color w:val="000000"/>
                <w:sz w:val="24"/>
                <w:szCs w:val="24"/>
              </w:rPr>
            </w:pPr>
            <w:r w:rsidRPr="003172D6">
              <w:rPr>
                <w:rFonts w:ascii="Times New Roman" w:hAnsi="Times New Roman" w:cs="Times New Roman"/>
                <w:color w:val="000000"/>
                <w:sz w:val="24"/>
                <w:szCs w:val="24"/>
              </w:rPr>
              <w:t>36.21%</w:t>
            </w:r>
          </w:p>
        </w:tc>
      </w:tr>
      <w:tr w:rsidR="003172D6" w:rsidRPr="000E5B76" w14:paraId="701686AD" w14:textId="77777777" w:rsidTr="00613A0A">
        <w:tblPrEx>
          <w:jc w:val="left"/>
        </w:tblPrEx>
        <w:trPr>
          <w:trHeight w:val="280"/>
        </w:trPr>
        <w:tc>
          <w:tcPr>
            <w:tcW w:w="4050" w:type="dxa"/>
            <w:gridSpan w:val="2"/>
            <w:tcBorders>
              <w:top w:val="nil"/>
              <w:left w:val="nil"/>
              <w:right w:val="nil"/>
            </w:tcBorders>
            <w:shd w:val="clear" w:color="auto" w:fill="auto"/>
            <w:noWrap/>
            <w:vAlign w:val="bottom"/>
            <w:hideMark/>
          </w:tcPr>
          <w:p w14:paraId="2D442F05" w14:textId="77777777" w:rsidR="003172D6" w:rsidRPr="00F055F4" w:rsidRDefault="003172D6" w:rsidP="003172D6">
            <w:pPr>
              <w:spacing w:after="0" w:line="240" w:lineRule="auto"/>
              <w:rPr>
                <w:rFonts w:ascii="Times New Roman" w:eastAsia="Times New Roman" w:hAnsi="Times New Roman" w:cs="Times New Roman"/>
                <w:color w:val="000000"/>
                <w:sz w:val="24"/>
                <w:szCs w:val="24"/>
              </w:rPr>
            </w:pPr>
            <w:r w:rsidRPr="00A446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2) + Raise A</w:t>
            </w:r>
            <w:r w:rsidRPr="0066434B">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share to 15</w:t>
            </w:r>
            <w:r w:rsidRPr="0066434B">
              <w:rPr>
                <w:rFonts w:ascii="Times New Roman" w:eastAsia="Times New Roman" w:hAnsi="Times New Roman" w:cs="Times New Roman"/>
                <w:color w:val="000000"/>
                <w:sz w:val="24"/>
                <w:szCs w:val="24"/>
              </w:rPr>
              <w:t>%</w:t>
            </w:r>
          </w:p>
        </w:tc>
        <w:tc>
          <w:tcPr>
            <w:tcW w:w="2407" w:type="dxa"/>
            <w:gridSpan w:val="2"/>
            <w:tcBorders>
              <w:top w:val="nil"/>
              <w:left w:val="nil"/>
              <w:right w:val="nil"/>
            </w:tcBorders>
            <w:shd w:val="clear" w:color="auto" w:fill="auto"/>
            <w:noWrap/>
            <w:vAlign w:val="bottom"/>
            <w:hideMark/>
          </w:tcPr>
          <w:p w14:paraId="2BCCAE3B" w14:textId="71403641" w:rsidR="003172D6" w:rsidRPr="003172D6" w:rsidRDefault="003172D6" w:rsidP="003172D6">
            <w:pPr>
              <w:spacing w:after="0" w:line="240" w:lineRule="auto"/>
              <w:jc w:val="center"/>
              <w:rPr>
                <w:rFonts w:ascii="Times New Roman" w:eastAsia="Times New Roman" w:hAnsi="Times New Roman" w:cs="Times New Roman"/>
                <w:color w:val="000000"/>
                <w:sz w:val="24"/>
                <w:szCs w:val="24"/>
              </w:rPr>
            </w:pPr>
            <w:r w:rsidRPr="003172D6">
              <w:rPr>
                <w:rFonts w:ascii="Times New Roman" w:hAnsi="Times New Roman" w:cs="Times New Roman"/>
                <w:color w:val="000000"/>
                <w:sz w:val="24"/>
                <w:szCs w:val="24"/>
              </w:rPr>
              <w:t>7.07%</w:t>
            </w:r>
          </w:p>
        </w:tc>
        <w:tc>
          <w:tcPr>
            <w:tcW w:w="2408" w:type="dxa"/>
            <w:gridSpan w:val="2"/>
            <w:tcBorders>
              <w:top w:val="nil"/>
              <w:left w:val="nil"/>
              <w:right w:val="nil"/>
            </w:tcBorders>
            <w:shd w:val="clear" w:color="auto" w:fill="auto"/>
            <w:noWrap/>
            <w:vAlign w:val="bottom"/>
            <w:hideMark/>
          </w:tcPr>
          <w:p w14:paraId="6644D7FC" w14:textId="70634BA2" w:rsidR="003172D6" w:rsidRPr="003172D6" w:rsidRDefault="003172D6" w:rsidP="003172D6">
            <w:pPr>
              <w:spacing w:after="0" w:line="240" w:lineRule="auto"/>
              <w:jc w:val="center"/>
              <w:rPr>
                <w:rFonts w:ascii="Times New Roman" w:eastAsia="Times New Roman" w:hAnsi="Times New Roman" w:cs="Times New Roman"/>
                <w:color w:val="000000"/>
                <w:sz w:val="24"/>
                <w:szCs w:val="24"/>
              </w:rPr>
            </w:pPr>
            <w:r w:rsidRPr="003172D6">
              <w:rPr>
                <w:rFonts w:ascii="Times New Roman" w:hAnsi="Times New Roman" w:cs="Times New Roman"/>
                <w:color w:val="000000"/>
                <w:sz w:val="24"/>
                <w:szCs w:val="24"/>
              </w:rPr>
              <w:t>15.60%</w:t>
            </w:r>
          </w:p>
        </w:tc>
        <w:tc>
          <w:tcPr>
            <w:tcW w:w="2407" w:type="dxa"/>
            <w:gridSpan w:val="2"/>
            <w:tcBorders>
              <w:top w:val="nil"/>
              <w:left w:val="nil"/>
              <w:right w:val="nil"/>
            </w:tcBorders>
            <w:shd w:val="clear" w:color="auto" w:fill="auto"/>
            <w:noWrap/>
            <w:vAlign w:val="bottom"/>
            <w:hideMark/>
          </w:tcPr>
          <w:p w14:paraId="7A1ED47B" w14:textId="7E455DC3" w:rsidR="003172D6" w:rsidRPr="003172D6" w:rsidRDefault="003172D6" w:rsidP="003172D6">
            <w:pPr>
              <w:spacing w:after="0" w:line="240" w:lineRule="auto"/>
              <w:jc w:val="center"/>
              <w:rPr>
                <w:rFonts w:ascii="Times New Roman" w:eastAsia="Times New Roman" w:hAnsi="Times New Roman" w:cs="Times New Roman"/>
                <w:color w:val="000000"/>
                <w:sz w:val="24"/>
                <w:szCs w:val="24"/>
              </w:rPr>
            </w:pPr>
            <w:r w:rsidRPr="003172D6">
              <w:rPr>
                <w:rFonts w:ascii="Times New Roman" w:hAnsi="Times New Roman" w:cs="Times New Roman"/>
                <w:color w:val="000000"/>
                <w:sz w:val="24"/>
                <w:szCs w:val="24"/>
              </w:rPr>
              <w:t>25.55%</w:t>
            </w:r>
          </w:p>
        </w:tc>
        <w:tc>
          <w:tcPr>
            <w:tcW w:w="2408" w:type="dxa"/>
            <w:gridSpan w:val="2"/>
            <w:tcBorders>
              <w:top w:val="nil"/>
              <w:left w:val="nil"/>
              <w:right w:val="nil"/>
            </w:tcBorders>
            <w:shd w:val="clear" w:color="auto" w:fill="auto"/>
            <w:noWrap/>
            <w:vAlign w:val="bottom"/>
            <w:hideMark/>
          </w:tcPr>
          <w:p w14:paraId="0BCA6F25" w14:textId="7AC95403" w:rsidR="003172D6" w:rsidRPr="003172D6" w:rsidRDefault="003172D6" w:rsidP="003172D6">
            <w:pPr>
              <w:spacing w:after="0" w:line="240" w:lineRule="auto"/>
              <w:jc w:val="center"/>
              <w:rPr>
                <w:rFonts w:ascii="Times New Roman" w:eastAsia="Times New Roman" w:hAnsi="Times New Roman" w:cs="Times New Roman"/>
                <w:color w:val="000000"/>
                <w:sz w:val="24"/>
                <w:szCs w:val="24"/>
              </w:rPr>
            </w:pPr>
            <w:r w:rsidRPr="003172D6">
              <w:rPr>
                <w:rFonts w:ascii="Times New Roman" w:hAnsi="Times New Roman" w:cs="Times New Roman"/>
                <w:color w:val="000000"/>
                <w:sz w:val="24"/>
                <w:szCs w:val="24"/>
              </w:rPr>
              <w:t>35.75%</w:t>
            </w:r>
          </w:p>
        </w:tc>
      </w:tr>
      <w:tr w:rsidR="003172D6" w:rsidRPr="000E5B76" w14:paraId="6984B807" w14:textId="77777777" w:rsidTr="00613A0A">
        <w:tblPrEx>
          <w:jc w:val="left"/>
        </w:tblPrEx>
        <w:trPr>
          <w:trHeight w:val="280"/>
        </w:trPr>
        <w:tc>
          <w:tcPr>
            <w:tcW w:w="4050" w:type="dxa"/>
            <w:gridSpan w:val="2"/>
            <w:tcBorders>
              <w:top w:val="nil"/>
              <w:left w:val="nil"/>
              <w:right w:val="nil"/>
            </w:tcBorders>
            <w:shd w:val="clear" w:color="auto" w:fill="auto"/>
            <w:noWrap/>
            <w:vAlign w:val="bottom"/>
            <w:hideMark/>
          </w:tcPr>
          <w:p w14:paraId="2B398972" w14:textId="77777777" w:rsidR="003172D6" w:rsidRPr="00F055F4" w:rsidRDefault="003172D6" w:rsidP="003172D6">
            <w:pPr>
              <w:spacing w:after="0" w:line="240" w:lineRule="auto"/>
              <w:rPr>
                <w:rFonts w:ascii="Times New Roman" w:eastAsia="Times New Roman" w:hAnsi="Times New Roman" w:cs="Times New Roman"/>
                <w:color w:val="000000"/>
                <w:sz w:val="24"/>
                <w:szCs w:val="24"/>
              </w:rPr>
            </w:pPr>
            <w:r w:rsidRPr="00A446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3) 6</w:t>
            </w:r>
            <w:r w:rsidRPr="0066434B">
              <w:rPr>
                <w:rFonts w:ascii="Times New Roman" w:eastAsia="Times New Roman" w:hAnsi="Times New Roman" w:cs="Times New Roman"/>
                <w:color w:val="000000"/>
                <w:sz w:val="24"/>
                <w:szCs w:val="24"/>
              </w:rPr>
              <w:t xml:space="preserve">0% </w:t>
            </w:r>
            <w:r>
              <w:rPr>
                <w:rFonts w:ascii="Times New Roman" w:eastAsia="Times New Roman" w:hAnsi="Times New Roman" w:cs="Times New Roman"/>
                <w:color w:val="000000"/>
                <w:sz w:val="24"/>
                <w:szCs w:val="24"/>
              </w:rPr>
              <w:t>B</w:t>
            </w:r>
            <w:r w:rsidRPr="0066434B">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share</w:t>
            </w:r>
            <w:r w:rsidRPr="0066434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w:t>
            </w:r>
            <w:r w:rsidRPr="0066434B">
              <w:rPr>
                <w:rFonts w:ascii="Times New Roman" w:eastAsia="Times New Roman" w:hAnsi="Times New Roman" w:cs="Times New Roman"/>
                <w:color w:val="000000"/>
                <w:sz w:val="24"/>
                <w:szCs w:val="24"/>
              </w:rPr>
              <w:t xml:space="preserve">0% </w:t>
            </w:r>
            <w:r>
              <w:rPr>
                <w:rFonts w:ascii="Times New Roman" w:eastAsia="Times New Roman" w:hAnsi="Times New Roman" w:cs="Times New Roman"/>
                <w:color w:val="000000"/>
                <w:sz w:val="24"/>
                <w:szCs w:val="24"/>
              </w:rPr>
              <w:t>A</w:t>
            </w:r>
            <w:r w:rsidRPr="0066434B">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share</w:t>
            </w:r>
          </w:p>
        </w:tc>
        <w:tc>
          <w:tcPr>
            <w:tcW w:w="2407" w:type="dxa"/>
            <w:gridSpan w:val="2"/>
            <w:tcBorders>
              <w:top w:val="nil"/>
              <w:left w:val="nil"/>
              <w:right w:val="nil"/>
            </w:tcBorders>
            <w:shd w:val="clear" w:color="auto" w:fill="auto"/>
            <w:noWrap/>
            <w:vAlign w:val="bottom"/>
            <w:hideMark/>
          </w:tcPr>
          <w:p w14:paraId="595A91C9" w14:textId="26295E4D" w:rsidR="003172D6" w:rsidRPr="003172D6" w:rsidRDefault="003172D6" w:rsidP="003172D6">
            <w:pPr>
              <w:spacing w:after="0" w:line="240" w:lineRule="auto"/>
              <w:jc w:val="center"/>
              <w:rPr>
                <w:rFonts w:ascii="Times New Roman" w:eastAsia="Times New Roman" w:hAnsi="Times New Roman" w:cs="Times New Roman"/>
                <w:color w:val="000000"/>
                <w:sz w:val="24"/>
                <w:szCs w:val="24"/>
              </w:rPr>
            </w:pPr>
            <w:r w:rsidRPr="003172D6">
              <w:rPr>
                <w:rFonts w:ascii="Times New Roman" w:hAnsi="Times New Roman" w:cs="Times New Roman"/>
                <w:color w:val="000000"/>
                <w:sz w:val="24"/>
                <w:szCs w:val="24"/>
              </w:rPr>
              <w:t>6.89%</w:t>
            </w:r>
          </w:p>
        </w:tc>
        <w:tc>
          <w:tcPr>
            <w:tcW w:w="2408" w:type="dxa"/>
            <w:gridSpan w:val="2"/>
            <w:tcBorders>
              <w:top w:val="nil"/>
              <w:left w:val="nil"/>
              <w:right w:val="nil"/>
            </w:tcBorders>
            <w:shd w:val="clear" w:color="auto" w:fill="auto"/>
            <w:noWrap/>
            <w:vAlign w:val="bottom"/>
            <w:hideMark/>
          </w:tcPr>
          <w:p w14:paraId="0297AEC7" w14:textId="322AFE4D" w:rsidR="003172D6" w:rsidRPr="003172D6" w:rsidRDefault="003172D6" w:rsidP="003172D6">
            <w:pPr>
              <w:spacing w:after="0" w:line="240" w:lineRule="auto"/>
              <w:jc w:val="center"/>
              <w:rPr>
                <w:rFonts w:ascii="Times New Roman" w:eastAsia="Times New Roman" w:hAnsi="Times New Roman" w:cs="Times New Roman"/>
                <w:color w:val="000000"/>
                <w:sz w:val="24"/>
                <w:szCs w:val="24"/>
              </w:rPr>
            </w:pPr>
            <w:r w:rsidRPr="003172D6">
              <w:rPr>
                <w:rFonts w:ascii="Times New Roman" w:hAnsi="Times New Roman" w:cs="Times New Roman"/>
                <w:color w:val="000000"/>
                <w:sz w:val="24"/>
                <w:szCs w:val="24"/>
              </w:rPr>
              <w:t>14.84%</w:t>
            </w:r>
          </w:p>
        </w:tc>
        <w:tc>
          <w:tcPr>
            <w:tcW w:w="2407" w:type="dxa"/>
            <w:gridSpan w:val="2"/>
            <w:tcBorders>
              <w:top w:val="nil"/>
              <w:left w:val="nil"/>
              <w:right w:val="nil"/>
            </w:tcBorders>
            <w:shd w:val="clear" w:color="auto" w:fill="auto"/>
            <w:noWrap/>
            <w:vAlign w:val="bottom"/>
            <w:hideMark/>
          </w:tcPr>
          <w:p w14:paraId="1018CB35" w14:textId="30F970AA" w:rsidR="003172D6" w:rsidRPr="003172D6" w:rsidRDefault="003172D6" w:rsidP="003172D6">
            <w:pPr>
              <w:spacing w:after="0" w:line="240" w:lineRule="auto"/>
              <w:jc w:val="center"/>
              <w:rPr>
                <w:rFonts w:ascii="Times New Roman" w:eastAsia="Times New Roman" w:hAnsi="Times New Roman" w:cs="Times New Roman"/>
                <w:color w:val="000000"/>
                <w:sz w:val="24"/>
                <w:szCs w:val="24"/>
              </w:rPr>
            </w:pPr>
            <w:r w:rsidRPr="003172D6">
              <w:rPr>
                <w:rFonts w:ascii="Times New Roman" w:hAnsi="Times New Roman" w:cs="Times New Roman"/>
                <w:color w:val="000000"/>
                <w:sz w:val="24"/>
                <w:szCs w:val="24"/>
              </w:rPr>
              <w:t>24.39%</w:t>
            </w:r>
          </w:p>
        </w:tc>
        <w:tc>
          <w:tcPr>
            <w:tcW w:w="2408" w:type="dxa"/>
            <w:gridSpan w:val="2"/>
            <w:tcBorders>
              <w:top w:val="nil"/>
              <w:left w:val="nil"/>
              <w:right w:val="nil"/>
            </w:tcBorders>
            <w:shd w:val="clear" w:color="auto" w:fill="auto"/>
            <w:noWrap/>
            <w:vAlign w:val="bottom"/>
            <w:hideMark/>
          </w:tcPr>
          <w:p w14:paraId="22386B9A" w14:textId="515893DE" w:rsidR="003172D6" w:rsidRPr="003172D6" w:rsidRDefault="003172D6" w:rsidP="003172D6">
            <w:pPr>
              <w:spacing w:after="0" w:line="240" w:lineRule="auto"/>
              <w:jc w:val="center"/>
              <w:rPr>
                <w:rFonts w:ascii="Times New Roman" w:eastAsia="Times New Roman" w:hAnsi="Times New Roman" w:cs="Times New Roman"/>
                <w:color w:val="000000"/>
                <w:sz w:val="24"/>
                <w:szCs w:val="24"/>
              </w:rPr>
            </w:pPr>
            <w:r w:rsidRPr="003172D6">
              <w:rPr>
                <w:rFonts w:ascii="Times New Roman" w:hAnsi="Times New Roman" w:cs="Times New Roman"/>
                <w:color w:val="000000"/>
                <w:sz w:val="24"/>
                <w:szCs w:val="24"/>
              </w:rPr>
              <w:t>34.49%</w:t>
            </w:r>
          </w:p>
        </w:tc>
      </w:tr>
      <w:tr w:rsidR="000F7C00" w:rsidRPr="00996FA1" w14:paraId="43276D17" w14:textId="77777777" w:rsidTr="00211FA3">
        <w:tblPrEx>
          <w:jc w:val="left"/>
        </w:tblPrEx>
        <w:trPr>
          <w:trHeight w:val="87"/>
        </w:trPr>
        <w:tc>
          <w:tcPr>
            <w:tcW w:w="2736" w:type="dxa"/>
            <w:tcBorders>
              <w:left w:val="nil"/>
              <w:bottom w:val="single" w:sz="4" w:space="0" w:color="auto"/>
              <w:right w:val="nil"/>
            </w:tcBorders>
            <w:shd w:val="clear" w:color="auto" w:fill="auto"/>
            <w:noWrap/>
            <w:vAlign w:val="bottom"/>
          </w:tcPr>
          <w:p w14:paraId="2394D084" w14:textId="77777777" w:rsidR="000F7C00" w:rsidRPr="00996FA1" w:rsidRDefault="000F7C00" w:rsidP="00211FA3">
            <w:pPr>
              <w:spacing w:after="0" w:line="240" w:lineRule="auto"/>
              <w:jc w:val="right"/>
              <w:rPr>
                <w:rFonts w:ascii="Times New Roman" w:eastAsia="Times New Roman" w:hAnsi="Times New Roman" w:cs="Times New Roman"/>
                <w:color w:val="000000"/>
                <w:sz w:val="8"/>
                <w:szCs w:val="8"/>
              </w:rPr>
            </w:pPr>
          </w:p>
        </w:tc>
        <w:tc>
          <w:tcPr>
            <w:tcW w:w="2736" w:type="dxa"/>
            <w:gridSpan w:val="2"/>
            <w:tcBorders>
              <w:left w:val="nil"/>
              <w:bottom w:val="single" w:sz="4" w:space="0" w:color="auto"/>
              <w:right w:val="nil"/>
            </w:tcBorders>
            <w:shd w:val="clear" w:color="auto" w:fill="auto"/>
            <w:noWrap/>
            <w:vAlign w:val="bottom"/>
          </w:tcPr>
          <w:p w14:paraId="1F1027FB" w14:textId="77777777" w:rsidR="000F7C00" w:rsidRPr="00996FA1" w:rsidRDefault="000F7C00" w:rsidP="00211FA3">
            <w:pPr>
              <w:spacing w:after="0" w:line="240" w:lineRule="auto"/>
              <w:jc w:val="right"/>
              <w:rPr>
                <w:rFonts w:ascii="Times New Roman" w:eastAsia="Times New Roman" w:hAnsi="Times New Roman" w:cs="Times New Roman"/>
                <w:color w:val="000000"/>
                <w:sz w:val="8"/>
                <w:szCs w:val="8"/>
              </w:rPr>
            </w:pPr>
          </w:p>
        </w:tc>
        <w:tc>
          <w:tcPr>
            <w:tcW w:w="2736" w:type="dxa"/>
            <w:gridSpan w:val="2"/>
            <w:tcBorders>
              <w:left w:val="nil"/>
              <w:bottom w:val="single" w:sz="4" w:space="0" w:color="auto"/>
              <w:right w:val="nil"/>
            </w:tcBorders>
            <w:shd w:val="clear" w:color="auto" w:fill="auto"/>
            <w:noWrap/>
            <w:vAlign w:val="bottom"/>
          </w:tcPr>
          <w:p w14:paraId="49DA7B5C" w14:textId="77777777" w:rsidR="000F7C00" w:rsidRPr="00996FA1" w:rsidRDefault="000F7C00" w:rsidP="00211FA3">
            <w:pPr>
              <w:spacing w:after="0" w:line="240" w:lineRule="auto"/>
              <w:jc w:val="right"/>
              <w:rPr>
                <w:rFonts w:ascii="Times New Roman" w:eastAsia="Times New Roman" w:hAnsi="Times New Roman" w:cs="Times New Roman"/>
                <w:color w:val="000000"/>
                <w:sz w:val="8"/>
                <w:szCs w:val="8"/>
              </w:rPr>
            </w:pPr>
          </w:p>
        </w:tc>
        <w:tc>
          <w:tcPr>
            <w:tcW w:w="2736" w:type="dxa"/>
            <w:gridSpan w:val="2"/>
            <w:tcBorders>
              <w:left w:val="nil"/>
              <w:bottom w:val="single" w:sz="4" w:space="0" w:color="auto"/>
              <w:right w:val="nil"/>
            </w:tcBorders>
            <w:shd w:val="clear" w:color="auto" w:fill="auto"/>
            <w:noWrap/>
            <w:vAlign w:val="bottom"/>
          </w:tcPr>
          <w:p w14:paraId="5DBB5495" w14:textId="77777777" w:rsidR="000F7C00" w:rsidRPr="00996FA1" w:rsidRDefault="000F7C00" w:rsidP="00211FA3">
            <w:pPr>
              <w:spacing w:after="0" w:line="240" w:lineRule="auto"/>
              <w:jc w:val="right"/>
              <w:rPr>
                <w:rFonts w:ascii="Times New Roman" w:eastAsia="Times New Roman" w:hAnsi="Times New Roman" w:cs="Times New Roman"/>
                <w:color w:val="000000"/>
                <w:sz w:val="8"/>
                <w:szCs w:val="8"/>
              </w:rPr>
            </w:pPr>
          </w:p>
        </w:tc>
        <w:tc>
          <w:tcPr>
            <w:tcW w:w="2736" w:type="dxa"/>
            <w:gridSpan w:val="3"/>
            <w:tcBorders>
              <w:left w:val="nil"/>
              <w:bottom w:val="single" w:sz="4" w:space="0" w:color="auto"/>
              <w:right w:val="nil"/>
            </w:tcBorders>
            <w:shd w:val="clear" w:color="auto" w:fill="auto"/>
            <w:noWrap/>
            <w:vAlign w:val="bottom"/>
          </w:tcPr>
          <w:p w14:paraId="76A8C200" w14:textId="77777777" w:rsidR="000F7C00" w:rsidRPr="00996FA1" w:rsidRDefault="000F7C00" w:rsidP="00211FA3">
            <w:pPr>
              <w:spacing w:after="0" w:line="240" w:lineRule="auto"/>
              <w:jc w:val="right"/>
              <w:rPr>
                <w:rFonts w:ascii="Times New Roman" w:eastAsia="Times New Roman" w:hAnsi="Times New Roman" w:cs="Times New Roman"/>
                <w:color w:val="000000"/>
                <w:sz w:val="8"/>
                <w:szCs w:val="8"/>
              </w:rPr>
            </w:pPr>
          </w:p>
        </w:tc>
      </w:tr>
      <w:tr w:rsidR="000F7C00" w:rsidRPr="000E5B76" w14:paraId="651C6B21" w14:textId="77777777" w:rsidTr="00211FA3">
        <w:tblPrEx>
          <w:jc w:val="left"/>
        </w:tblPrEx>
        <w:trPr>
          <w:trHeight w:val="570"/>
        </w:trPr>
        <w:tc>
          <w:tcPr>
            <w:tcW w:w="13680" w:type="dxa"/>
            <w:gridSpan w:val="10"/>
            <w:tcBorders>
              <w:top w:val="single" w:sz="4" w:space="0" w:color="auto"/>
              <w:left w:val="nil"/>
              <w:bottom w:val="nil"/>
              <w:right w:val="nil"/>
            </w:tcBorders>
            <w:shd w:val="clear" w:color="auto" w:fill="auto"/>
            <w:hideMark/>
          </w:tcPr>
          <w:p w14:paraId="5A90E531" w14:textId="77777777" w:rsidR="000F7C00" w:rsidRDefault="000F7C00" w:rsidP="00211FA3">
            <w:pPr>
              <w:spacing w:before="120" w:after="0" w:line="240" w:lineRule="auto"/>
              <w:rPr>
                <w:rFonts w:ascii="Times New Roman" w:eastAsia="Times New Roman" w:hAnsi="Times New Roman" w:cs="Times New Roman"/>
                <w:color w:val="000000"/>
                <w:sz w:val="20"/>
                <w:szCs w:val="20"/>
              </w:rPr>
            </w:pPr>
            <w:r w:rsidRPr="008640AF">
              <w:rPr>
                <w:rFonts w:ascii="Times New Roman" w:eastAsia="Times New Roman" w:hAnsi="Times New Roman" w:cs="Times New Roman"/>
                <w:i/>
                <w:color w:val="000000"/>
                <w:sz w:val="20"/>
                <w:szCs w:val="20"/>
              </w:rPr>
              <w:t>Note</w:t>
            </w:r>
            <w:r w:rsidRPr="00BD761B">
              <w:rPr>
                <w:rFonts w:ascii="Times New Roman" w:eastAsia="Times New Roman" w:hAnsi="Times New Roman" w:cs="Times New Roman"/>
                <w:smallCaps/>
                <w:color w:val="000000"/>
                <w:sz w:val="20"/>
                <w:szCs w:val="20"/>
              </w:rPr>
              <w:t>:</w:t>
            </w:r>
            <w:r>
              <w:rPr>
                <w:rFonts w:ascii="Times New Roman" w:eastAsia="Times New Roman" w:hAnsi="Times New Roman" w:cs="Times New Roman"/>
                <w:smallCaps/>
                <w:color w:val="000000"/>
                <w:sz w:val="20"/>
                <w:szCs w:val="20"/>
              </w:rPr>
              <w:t xml:space="preserve"> </w:t>
            </w:r>
            <w:r>
              <w:rPr>
                <w:rFonts w:ascii="Times New Roman" w:eastAsia="Times New Roman" w:hAnsi="Times New Roman" w:cs="Times New Roman"/>
                <w:color w:val="000000"/>
                <w:sz w:val="20"/>
                <w:szCs w:val="20"/>
              </w:rPr>
              <w:t>“FPL” is the federal poverty threshold as calculated by the Census Bureau for different family structures. Simulated c</w:t>
            </w:r>
            <w:r w:rsidRPr="000E5B76">
              <w:rPr>
                <w:rFonts w:ascii="Times New Roman" w:eastAsia="Times New Roman" w:hAnsi="Times New Roman" w:cs="Times New Roman"/>
                <w:color w:val="000000"/>
                <w:sz w:val="20"/>
                <w:szCs w:val="20"/>
              </w:rPr>
              <w:t xml:space="preserve">hanges in poverty rates reflect changes to each household member's income through </w:t>
            </w:r>
            <w:r>
              <w:rPr>
                <w:rFonts w:ascii="Times New Roman" w:eastAsia="Times New Roman" w:hAnsi="Times New Roman" w:cs="Times New Roman"/>
                <w:color w:val="000000"/>
                <w:sz w:val="20"/>
                <w:szCs w:val="20"/>
              </w:rPr>
              <w:t>direct wage</w:t>
            </w:r>
            <w:r w:rsidRPr="000E5B76">
              <w:rPr>
                <w:rFonts w:ascii="Times New Roman" w:eastAsia="Times New Roman" w:hAnsi="Times New Roman" w:cs="Times New Roman"/>
                <w:color w:val="000000"/>
                <w:sz w:val="20"/>
                <w:szCs w:val="20"/>
              </w:rPr>
              <w:t xml:space="preserve"> or general equilibrium </w:t>
            </w:r>
            <w:r>
              <w:rPr>
                <w:rFonts w:ascii="Times New Roman" w:eastAsia="Times New Roman" w:hAnsi="Times New Roman" w:cs="Times New Roman"/>
                <w:color w:val="000000"/>
                <w:sz w:val="20"/>
                <w:szCs w:val="20"/>
              </w:rPr>
              <w:t xml:space="preserve">relative wage </w:t>
            </w:r>
            <w:r w:rsidRPr="000E5B76">
              <w:rPr>
                <w:rFonts w:ascii="Times New Roman" w:eastAsia="Times New Roman" w:hAnsi="Times New Roman" w:cs="Times New Roman"/>
                <w:color w:val="000000"/>
                <w:sz w:val="20"/>
                <w:szCs w:val="20"/>
              </w:rPr>
              <w:t xml:space="preserve">effects. </w:t>
            </w:r>
            <w:r>
              <w:rPr>
                <w:rFonts w:ascii="Times New Roman" w:eastAsia="Times New Roman" w:hAnsi="Times New Roman" w:cs="Times New Roman"/>
                <w:color w:val="000000"/>
                <w:sz w:val="20"/>
                <w:szCs w:val="20"/>
              </w:rPr>
              <w:t>Any resulting c</w:t>
            </w:r>
            <w:r w:rsidRPr="000E5B76">
              <w:rPr>
                <w:rFonts w:ascii="Times New Roman" w:eastAsia="Times New Roman" w:hAnsi="Times New Roman" w:cs="Times New Roman"/>
                <w:color w:val="000000"/>
                <w:sz w:val="20"/>
                <w:szCs w:val="20"/>
              </w:rPr>
              <w:t xml:space="preserve">hanges to transfer payments </w:t>
            </w:r>
            <w:proofErr w:type="gramStart"/>
            <w:r w:rsidRPr="000E5B76">
              <w:rPr>
                <w:rFonts w:ascii="Times New Roman" w:eastAsia="Times New Roman" w:hAnsi="Times New Roman" w:cs="Times New Roman"/>
                <w:color w:val="000000"/>
                <w:sz w:val="20"/>
                <w:szCs w:val="20"/>
              </w:rPr>
              <w:t>are not reflected</w:t>
            </w:r>
            <w:proofErr w:type="gramEnd"/>
            <w:r w:rsidRPr="000E5B76">
              <w:rPr>
                <w:rFonts w:ascii="Times New Roman" w:eastAsia="Times New Roman" w:hAnsi="Times New Roman" w:cs="Times New Roman"/>
                <w:color w:val="000000"/>
                <w:sz w:val="20"/>
                <w:szCs w:val="20"/>
              </w:rPr>
              <w:t xml:space="preserve"> in this analysis.</w:t>
            </w:r>
            <w:r>
              <w:rPr>
                <w:rFonts w:ascii="Times New Roman" w:eastAsia="Times New Roman" w:hAnsi="Times New Roman" w:cs="Times New Roman"/>
                <w:color w:val="000000"/>
                <w:sz w:val="20"/>
                <w:szCs w:val="20"/>
              </w:rPr>
              <w:t xml:space="preserve"> Child poverty rates include individuals under age 18 in families with income below the relevant poverty threshold. </w:t>
            </w:r>
          </w:p>
          <w:p w14:paraId="03B580D7" w14:textId="77777777" w:rsidR="000F7C00" w:rsidRPr="000E5B76" w:rsidRDefault="000F7C00" w:rsidP="00211FA3">
            <w:pPr>
              <w:spacing w:before="120" w:after="0" w:line="240" w:lineRule="auto"/>
              <w:rPr>
                <w:rFonts w:ascii="Times New Roman" w:eastAsia="Times New Roman" w:hAnsi="Times New Roman" w:cs="Times New Roman"/>
                <w:color w:val="000000"/>
                <w:sz w:val="20"/>
                <w:szCs w:val="20"/>
              </w:rPr>
            </w:pPr>
            <w:r w:rsidRPr="00876B37">
              <w:rPr>
                <w:rFonts w:ascii="Times New Roman" w:eastAsia="Times New Roman" w:hAnsi="Times New Roman" w:cs="Times New Roman"/>
                <w:i/>
                <w:color w:val="000000"/>
                <w:sz w:val="20"/>
                <w:szCs w:val="20"/>
              </w:rPr>
              <w:t>Source</w:t>
            </w:r>
            <w:r w:rsidRPr="00BD761B">
              <w:rPr>
                <w:rFonts w:ascii="Times New Roman" w:eastAsia="Times New Roman" w:hAnsi="Times New Roman" w:cs="Times New Roman"/>
                <w:color w:val="000000"/>
                <w:sz w:val="20"/>
                <w:szCs w:val="20"/>
              </w:rPr>
              <w:t>: Authors’ calculations of</w:t>
            </w:r>
            <w:r>
              <w:rPr>
                <w:rFonts w:ascii="Times New Roman" w:eastAsia="Times New Roman" w:hAnsi="Times New Roman" w:cs="Times New Roman"/>
                <w:color w:val="000000"/>
                <w:sz w:val="20"/>
                <w:szCs w:val="20"/>
              </w:rPr>
              <w:t xml:space="preserve"> March Current Population Survey 1980 and 2019 (Flood et al., 2019).</w:t>
            </w:r>
          </w:p>
        </w:tc>
      </w:tr>
    </w:tbl>
    <w:p w14:paraId="0E46C594" w14:textId="77777777" w:rsidR="000F7C00" w:rsidRDefault="000F7C00" w:rsidP="000F7C00">
      <w:pPr>
        <w:spacing w:after="0"/>
        <w:rPr>
          <w:rFonts w:ascii="Times New Roman" w:hAnsi="Times New Roman" w:cs="Times New Roman"/>
          <w:b/>
          <w:bCs/>
          <w:sz w:val="24"/>
          <w:szCs w:val="24"/>
        </w:rPr>
      </w:pPr>
    </w:p>
    <w:p w14:paraId="4C168A85" w14:textId="77777777" w:rsidR="000F7C00" w:rsidRDefault="000F7C00" w:rsidP="000F7C00">
      <w:pPr>
        <w:spacing w:after="0"/>
        <w:rPr>
          <w:rFonts w:ascii="Times New Roman" w:hAnsi="Times New Roman" w:cs="Times New Roman"/>
          <w:b/>
          <w:bCs/>
          <w:sz w:val="24"/>
          <w:szCs w:val="24"/>
        </w:rPr>
      </w:pPr>
    </w:p>
    <w:p w14:paraId="17CCDC4C" w14:textId="77777777" w:rsidR="000F7C00" w:rsidRDefault="000F7C00" w:rsidP="000F7C00">
      <w:pPr>
        <w:spacing w:after="0"/>
        <w:rPr>
          <w:rFonts w:ascii="Times New Roman" w:hAnsi="Times New Roman" w:cs="Times New Roman"/>
          <w:b/>
          <w:bCs/>
          <w:sz w:val="24"/>
          <w:szCs w:val="24"/>
        </w:rPr>
      </w:pPr>
    </w:p>
    <w:p w14:paraId="292C0A21" w14:textId="77777777" w:rsidR="000F7C00" w:rsidRDefault="000F7C00" w:rsidP="000F7C00">
      <w:pPr>
        <w:spacing w:after="0"/>
        <w:rPr>
          <w:rFonts w:ascii="Times New Roman" w:hAnsi="Times New Roman" w:cs="Times New Roman"/>
          <w:b/>
          <w:bCs/>
          <w:sz w:val="24"/>
          <w:szCs w:val="24"/>
        </w:rPr>
      </w:pPr>
    </w:p>
    <w:p w14:paraId="198D6883" w14:textId="77777777" w:rsidR="000F7C00" w:rsidRDefault="000F7C00" w:rsidP="000F7C00">
      <w:pPr>
        <w:spacing w:after="0"/>
        <w:rPr>
          <w:rFonts w:ascii="Times New Roman" w:hAnsi="Times New Roman" w:cs="Times New Roman"/>
          <w:b/>
          <w:bCs/>
          <w:sz w:val="24"/>
          <w:szCs w:val="24"/>
        </w:rPr>
      </w:pPr>
    </w:p>
    <w:p w14:paraId="60EF18DE" w14:textId="77777777" w:rsidR="000F7C00" w:rsidRDefault="000F7C00" w:rsidP="000F7C00">
      <w:pPr>
        <w:spacing w:after="0"/>
        <w:rPr>
          <w:rFonts w:ascii="Times New Roman" w:hAnsi="Times New Roman" w:cs="Times New Roman"/>
          <w:b/>
          <w:bCs/>
          <w:sz w:val="24"/>
          <w:szCs w:val="24"/>
        </w:rPr>
      </w:pPr>
    </w:p>
    <w:p w14:paraId="4F99EE17" w14:textId="77777777" w:rsidR="000F7C00" w:rsidRDefault="000F7C00" w:rsidP="000F7C00">
      <w:pPr>
        <w:spacing w:after="0"/>
        <w:rPr>
          <w:rFonts w:ascii="Times New Roman" w:hAnsi="Times New Roman" w:cs="Times New Roman"/>
          <w:b/>
          <w:bCs/>
          <w:sz w:val="24"/>
          <w:szCs w:val="24"/>
        </w:rPr>
      </w:pPr>
    </w:p>
    <w:p w14:paraId="5F4FC258" w14:textId="77777777" w:rsidR="000F7C00" w:rsidRDefault="000F7C00" w:rsidP="000F7C00">
      <w:pPr>
        <w:spacing w:after="0"/>
        <w:rPr>
          <w:rFonts w:ascii="Times New Roman" w:hAnsi="Times New Roman" w:cs="Times New Roman"/>
          <w:b/>
          <w:bCs/>
          <w:sz w:val="24"/>
          <w:szCs w:val="24"/>
        </w:rPr>
      </w:pPr>
    </w:p>
    <w:p w14:paraId="11DF8995" w14:textId="77777777" w:rsidR="000F7C00" w:rsidRDefault="000F7C00" w:rsidP="000F7C00">
      <w:pPr>
        <w:spacing w:after="0"/>
        <w:rPr>
          <w:rFonts w:ascii="Times New Roman" w:hAnsi="Times New Roman" w:cs="Times New Roman"/>
          <w:b/>
          <w:bCs/>
          <w:sz w:val="24"/>
          <w:szCs w:val="24"/>
        </w:rPr>
      </w:pPr>
    </w:p>
    <w:tbl>
      <w:tblPr>
        <w:tblW w:w="12690" w:type="dxa"/>
        <w:jc w:val="center"/>
        <w:tblLook w:val="04A0" w:firstRow="1" w:lastRow="0" w:firstColumn="1" w:lastColumn="0" w:noHBand="0" w:noVBand="1"/>
      </w:tblPr>
      <w:tblGrid>
        <w:gridCol w:w="4203"/>
        <w:gridCol w:w="1917"/>
        <w:gridCol w:w="2461"/>
        <w:gridCol w:w="2039"/>
        <w:gridCol w:w="2070"/>
      </w:tblGrid>
      <w:tr w:rsidR="000F7C00" w:rsidRPr="000F3F8F" w14:paraId="7041B6FB" w14:textId="77777777" w:rsidTr="00211FA3">
        <w:trPr>
          <w:trHeight w:val="280"/>
          <w:jc w:val="center"/>
        </w:trPr>
        <w:tc>
          <w:tcPr>
            <w:tcW w:w="12690" w:type="dxa"/>
            <w:gridSpan w:val="5"/>
            <w:tcBorders>
              <w:top w:val="nil"/>
              <w:left w:val="nil"/>
              <w:bottom w:val="single" w:sz="4" w:space="0" w:color="auto"/>
              <w:right w:val="nil"/>
            </w:tcBorders>
            <w:shd w:val="clear" w:color="auto" w:fill="auto"/>
            <w:noWrap/>
            <w:vAlign w:val="bottom"/>
            <w:hideMark/>
          </w:tcPr>
          <w:p w14:paraId="47ADC3EA" w14:textId="77777777" w:rsidR="000F7C00" w:rsidRPr="000F3F8F" w:rsidRDefault="000F7C00" w:rsidP="00211FA3">
            <w:pPr>
              <w:spacing w:after="0" w:line="240" w:lineRule="auto"/>
              <w:rPr>
                <w:rFonts w:ascii="Times New Roman" w:eastAsia="Times New Roman" w:hAnsi="Times New Roman" w:cs="Times New Roman"/>
                <w:b/>
                <w:bCs/>
                <w:color w:val="000000"/>
              </w:rPr>
            </w:pPr>
            <w:r w:rsidRPr="000F3F8F">
              <w:rPr>
                <w:rFonts w:ascii="Times New Roman" w:eastAsia="Times New Roman" w:hAnsi="Times New Roman" w:cs="Times New Roman"/>
                <w:b/>
                <w:bCs/>
                <w:color w:val="000000"/>
              </w:rPr>
              <w:t>Table A.</w:t>
            </w:r>
            <w:r>
              <w:rPr>
                <w:rFonts w:ascii="Times New Roman" w:eastAsia="Times New Roman" w:hAnsi="Times New Roman" w:cs="Times New Roman"/>
                <w:b/>
                <w:bCs/>
                <w:color w:val="000000"/>
              </w:rPr>
              <w:t>6</w:t>
            </w:r>
            <w:r w:rsidRPr="000F3F8F">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 xml:space="preserve">Child </w:t>
            </w:r>
            <w:r w:rsidRPr="000F3F8F">
              <w:rPr>
                <w:rFonts w:ascii="Times New Roman" w:eastAsia="Times New Roman" w:hAnsi="Times New Roman" w:cs="Times New Roman"/>
                <w:b/>
                <w:bCs/>
                <w:color w:val="000000"/>
              </w:rPr>
              <w:t>Poverty Rates Relative to Earned Income</w:t>
            </w:r>
            <w:r>
              <w:rPr>
                <w:rFonts w:ascii="Times New Roman" w:eastAsia="Times New Roman" w:hAnsi="Times New Roman" w:cs="Times New Roman"/>
                <w:b/>
                <w:bCs/>
                <w:color w:val="000000"/>
              </w:rPr>
              <w:t>: All Individuals Sample</w:t>
            </w:r>
          </w:p>
        </w:tc>
      </w:tr>
      <w:tr w:rsidR="000F7C00" w:rsidRPr="000F3F8F" w14:paraId="015F2749" w14:textId="77777777" w:rsidTr="00211FA3">
        <w:trPr>
          <w:trHeight w:val="840"/>
          <w:jc w:val="center"/>
        </w:trPr>
        <w:tc>
          <w:tcPr>
            <w:tcW w:w="4203" w:type="dxa"/>
            <w:tcBorders>
              <w:top w:val="nil"/>
              <w:left w:val="nil"/>
              <w:bottom w:val="single" w:sz="4" w:space="0" w:color="auto"/>
              <w:right w:val="nil"/>
            </w:tcBorders>
            <w:shd w:val="clear" w:color="auto" w:fill="auto"/>
            <w:noWrap/>
            <w:vAlign w:val="bottom"/>
            <w:hideMark/>
          </w:tcPr>
          <w:p w14:paraId="2415A642" w14:textId="77777777" w:rsidR="000F7C00" w:rsidRPr="000F3F8F" w:rsidRDefault="000F7C00" w:rsidP="00211FA3">
            <w:pPr>
              <w:spacing w:after="0" w:line="240" w:lineRule="auto"/>
              <w:rPr>
                <w:rFonts w:ascii="Times New Roman" w:eastAsia="Times New Roman" w:hAnsi="Times New Roman" w:cs="Times New Roman"/>
                <w:b/>
                <w:bCs/>
                <w:color w:val="000000"/>
                <w:sz w:val="20"/>
                <w:szCs w:val="20"/>
              </w:rPr>
            </w:pPr>
            <w:r w:rsidRPr="000F3F8F">
              <w:rPr>
                <w:rFonts w:ascii="Times New Roman" w:eastAsia="Times New Roman" w:hAnsi="Times New Roman" w:cs="Times New Roman"/>
                <w:b/>
                <w:bCs/>
                <w:color w:val="000000"/>
                <w:sz w:val="20"/>
                <w:szCs w:val="20"/>
              </w:rPr>
              <w:t> </w:t>
            </w:r>
          </w:p>
        </w:tc>
        <w:tc>
          <w:tcPr>
            <w:tcW w:w="1917" w:type="dxa"/>
            <w:tcBorders>
              <w:top w:val="nil"/>
              <w:left w:val="nil"/>
              <w:bottom w:val="single" w:sz="4" w:space="0" w:color="auto"/>
              <w:right w:val="nil"/>
            </w:tcBorders>
            <w:shd w:val="clear" w:color="auto" w:fill="auto"/>
            <w:vAlign w:val="bottom"/>
            <w:hideMark/>
          </w:tcPr>
          <w:p w14:paraId="6D97FB2E" w14:textId="77777777" w:rsidR="000F7C00" w:rsidRPr="000F3F8F" w:rsidRDefault="000F7C00" w:rsidP="00211FA3">
            <w:pPr>
              <w:spacing w:after="0" w:line="240" w:lineRule="auto"/>
              <w:jc w:val="center"/>
              <w:rPr>
                <w:rFonts w:ascii="Times New Roman" w:eastAsia="Times New Roman" w:hAnsi="Times New Roman" w:cs="Times New Roman"/>
                <w:color w:val="000000"/>
              </w:rPr>
            </w:pPr>
            <w:r w:rsidRPr="000F3F8F">
              <w:rPr>
                <w:rFonts w:ascii="Times New Roman" w:eastAsia="Times New Roman" w:hAnsi="Times New Roman" w:cs="Times New Roman"/>
                <w:color w:val="000000"/>
              </w:rPr>
              <w:t>Deep Poverty (&lt;50% FPL)</w:t>
            </w:r>
          </w:p>
        </w:tc>
        <w:tc>
          <w:tcPr>
            <w:tcW w:w="2461" w:type="dxa"/>
            <w:tcBorders>
              <w:top w:val="nil"/>
              <w:left w:val="nil"/>
              <w:bottom w:val="single" w:sz="4" w:space="0" w:color="auto"/>
              <w:right w:val="nil"/>
            </w:tcBorders>
            <w:shd w:val="clear" w:color="auto" w:fill="auto"/>
            <w:vAlign w:val="bottom"/>
            <w:hideMark/>
          </w:tcPr>
          <w:p w14:paraId="7A8BFF4E" w14:textId="77777777" w:rsidR="000F7C00" w:rsidRPr="000F3F8F" w:rsidRDefault="000F7C00" w:rsidP="00211FA3">
            <w:pPr>
              <w:spacing w:after="0" w:line="240" w:lineRule="auto"/>
              <w:jc w:val="center"/>
              <w:rPr>
                <w:rFonts w:ascii="Times New Roman" w:eastAsia="Times New Roman" w:hAnsi="Times New Roman" w:cs="Times New Roman"/>
                <w:color w:val="000000"/>
              </w:rPr>
            </w:pPr>
            <w:r w:rsidRPr="000F3F8F">
              <w:rPr>
                <w:rFonts w:ascii="Times New Roman" w:eastAsia="Times New Roman" w:hAnsi="Times New Roman" w:cs="Times New Roman"/>
                <w:color w:val="000000"/>
              </w:rPr>
              <w:t>Poverty (FPL)</w:t>
            </w:r>
          </w:p>
        </w:tc>
        <w:tc>
          <w:tcPr>
            <w:tcW w:w="2039" w:type="dxa"/>
            <w:tcBorders>
              <w:top w:val="nil"/>
              <w:left w:val="nil"/>
              <w:bottom w:val="single" w:sz="4" w:space="0" w:color="auto"/>
              <w:right w:val="nil"/>
            </w:tcBorders>
            <w:shd w:val="clear" w:color="auto" w:fill="auto"/>
            <w:vAlign w:val="bottom"/>
            <w:hideMark/>
          </w:tcPr>
          <w:p w14:paraId="67CE4D3E" w14:textId="77777777" w:rsidR="000F7C00" w:rsidRPr="000F3F8F" w:rsidRDefault="000F7C00" w:rsidP="00211FA3">
            <w:pPr>
              <w:spacing w:after="0" w:line="240" w:lineRule="auto"/>
              <w:jc w:val="center"/>
              <w:rPr>
                <w:rFonts w:ascii="Times New Roman" w:eastAsia="Times New Roman" w:hAnsi="Times New Roman" w:cs="Times New Roman"/>
                <w:color w:val="000000"/>
              </w:rPr>
            </w:pPr>
            <w:r w:rsidRPr="000F3F8F">
              <w:rPr>
                <w:rFonts w:ascii="Times New Roman" w:eastAsia="Times New Roman" w:hAnsi="Times New Roman" w:cs="Times New Roman"/>
                <w:color w:val="000000"/>
              </w:rPr>
              <w:t>Near Poverty (&lt;150% FPL)</w:t>
            </w:r>
          </w:p>
        </w:tc>
        <w:tc>
          <w:tcPr>
            <w:tcW w:w="2070" w:type="dxa"/>
            <w:tcBorders>
              <w:top w:val="nil"/>
              <w:left w:val="nil"/>
              <w:bottom w:val="single" w:sz="4" w:space="0" w:color="auto"/>
              <w:right w:val="nil"/>
            </w:tcBorders>
            <w:shd w:val="clear" w:color="auto" w:fill="auto"/>
            <w:vAlign w:val="bottom"/>
            <w:hideMark/>
          </w:tcPr>
          <w:p w14:paraId="707631BE" w14:textId="77777777" w:rsidR="000F7C00" w:rsidRPr="000F3F8F" w:rsidRDefault="000F7C00" w:rsidP="00211FA3">
            <w:pPr>
              <w:spacing w:after="0" w:line="240" w:lineRule="auto"/>
              <w:jc w:val="center"/>
              <w:rPr>
                <w:rFonts w:ascii="Times New Roman" w:eastAsia="Times New Roman" w:hAnsi="Times New Roman" w:cs="Times New Roman"/>
                <w:color w:val="000000"/>
              </w:rPr>
            </w:pPr>
            <w:r w:rsidRPr="000F3F8F">
              <w:rPr>
                <w:rFonts w:ascii="Times New Roman" w:eastAsia="Times New Roman" w:hAnsi="Times New Roman" w:cs="Times New Roman"/>
                <w:color w:val="000000"/>
              </w:rPr>
              <w:t>Low Income (&lt;200% FPL)</w:t>
            </w:r>
          </w:p>
        </w:tc>
      </w:tr>
      <w:tr w:rsidR="000F7C00" w:rsidRPr="000F3F8F" w14:paraId="644358D3" w14:textId="77777777" w:rsidTr="00211FA3">
        <w:trPr>
          <w:trHeight w:val="160"/>
          <w:jc w:val="center"/>
        </w:trPr>
        <w:tc>
          <w:tcPr>
            <w:tcW w:w="4203" w:type="dxa"/>
            <w:tcBorders>
              <w:top w:val="nil"/>
              <w:left w:val="nil"/>
              <w:bottom w:val="nil"/>
              <w:right w:val="nil"/>
            </w:tcBorders>
            <w:shd w:val="clear" w:color="auto" w:fill="auto"/>
            <w:noWrap/>
            <w:vAlign w:val="bottom"/>
            <w:hideMark/>
          </w:tcPr>
          <w:p w14:paraId="3A72C64E" w14:textId="77777777" w:rsidR="000F7C00" w:rsidRPr="000F3F8F" w:rsidRDefault="000F7C00" w:rsidP="00211FA3">
            <w:pPr>
              <w:spacing w:after="0" w:line="240" w:lineRule="auto"/>
              <w:rPr>
                <w:rFonts w:ascii="Times New Roman" w:eastAsia="Times New Roman" w:hAnsi="Times New Roman" w:cs="Times New Roman"/>
                <w:color w:val="000000"/>
              </w:rPr>
            </w:pPr>
          </w:p>
        </w:tc>
        <w:tc>
          <w:tcPr>
            <w:tcW w:w="1917" w:type="dxa"/>
            <w:tcBorders>
              <w:top w:val="nil"/>
              <w:left w:val="nil"/>
              <w:bottom w:val="nil"/>
              <w:right w:val="nil"/>
            </w:tcBorders>
            <w:shd w:val="clear" w:color="auto" w:fill="auto"/>
            <w:vAlign w:val="bottom"/>
            <w:hideMark/>
          </w:tcPr>
          <w:p w14:paraId="602E6D4F" w14:textId="77777777" w:rsidR="000F7C00" w:rsidRPr="000F3F8F" w:rsidRDefault="000F7C00" w:rsidP="00211FA3">
            <w:pPr>
              <w:spacing w:after="0" w:line="240" w:lineRule="auto"/>
              <w:jc w:val="center"/>
              <w:rPr>
                <w:rFonts w:ascii="Times New Roman" w:eastAsia="Times New Roman" w:hAnsi="Times New Roman" w:cs="Times New Roman"/>
                <w:sz w:val="20"/>
                <w:szCs w:val="20"/>
              </w:rPr>
            </w:pPr>
          </w:p>
        </w:tc>
        <w:tc>
          <w:tcPr>
            <w:tcW w:w="2461" w:type="dxa"/>
            <w:tcBorders>
              <w:top w:val="nil"/>
              <w:left w:val="nil"/>
              <w:bottom w:val="nil"/>
              <w:right w:val="nil"/>
            </w:tcBorders>
            <w:shd w:val="clear" w:color="auto" w:fill="auto"/>
            <w:vAlign w:val="bottom"/>
            <w:hideMark/>
          </w:tcPr>
          <w:p w14:paraId="7024663C" w14:textId="77777777" w:rsidR="000F7C00" w:rsidRPr="000F3F8F" w:rsidRDefault="000F7C00" w:rsidP="00211FA3">
            <w:pPr>
              <w:spacing w:after="0" w:line="240" w:lineRule="auto"/>
              <w:jc w:val="center"/>
              <w:rPr>
                <w:rFonts w:ascii="Times New Roman" w:eastAsia="Times New Roman" w:hAnsi="Times New Roman" w:cs="Times New Roman"/>
                <w:sz w:val="20"/>
                <w:szCs w:val="20"/>
              </w:rPr>
            </w:pPr>
          </w:p>
        </w:tc>
        <w:tc>
          <w:tcPr>
            <w:tcW w:w="2039" w:type="dxa"/>
            <w:tcBorders>
              <w:top w:val="nil"/>
              <w:left w:val="nil"/>
              <w:bottom w:val="nil"/>
              <w:right w:val="nil"/>
            </w:tcBorders>
            <w:shd w:val="clear" w:color="auto" w:fill="auto"/>
            <w:vAlign w:val="bottom"/>
            <w:hideMark/>
          </w:tcPr>
          <w:p w14:paraId="3F72F346" w14:textId="77777777" w:rsidR="000F7C00" w:rsidRPr="000F3F8F" w:rsidRDefault="000F7C00" w:rsidP="00211FA3">
            <w:pPr>
              <w:spacing w:after="0" w:line="240" w:lineRule="auto"/>
              <w:jc w:val="center"/>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vAlign w:val="bottom"/>
            <w:hideMark/>
          </w:tcPr>
          <w:p w14:paraId="37EB986D" w14:textId="77777777" w:rsidR="000F7C00" w:rsidRPr="000F3F8F" w:rsidRDefault="000F7C00" w:rsidP="00211FA3">
            <w:pPr>
              <w:spacing w:after="0" w:line="240" w:lineRule="auto"/>
              <w:jc w:val="center"/>
              <w:rPr>
                <w:rFonts w:ascii="Times New Roman" w:eastAsia="Times New Roman" w:hAnsi="Times New Roman" w:cs="Times New Roman"/>
                <w:sz w:val="20"/>
                <w:szCs w:val="20"/>
              </w:rPr>
            </w:pPr>
          </w:p>
        </w:tc>
      </w:tr>
      <w:tr w:rsidR="000F7C00" w:rsidRPr="000F3F8F" w14:paraId="76D4C410" w14:textId="77777777" w:rsidTr="00211FA3">
        <w:trPr>
          <w:trHeight w:val="280"/>
          <w:jc w:val="center"/>
        </w:trPr>
        <w:tc>
          <w:tcPr>
            <w:tcW w:w="4203" w:type="dxa"/>
            <w:tcBorders>
              <w:top w:val="nil"/>
              <w:left w:val="nil"/>
              <w:bottom w:val="nil"/>
              <w:right w:val="nil"/>
            </w:tcBorders>
            <w:shd w:val="clear" w:color="auto" w:fill="auto"/>
            <w:noWrap/>
            <w:vAlign w:val="bottom"/>
            <w:hideMark/>
          </w:tcPr>
          <w:p w14:paraId="06B37E95" w14:textId="77777777" w:rsidR="000F7C00" w:rsidRPr="001A4B46" w:rsidRDefault="000F7C00" w:rsidP="00211FA3">
            <w:pPr>
              <w:spacing w:after="0" w:line="240" w:lineRule="auto"/>
              <w:rPr>
                <w:rFonts w:ascii="Times New Roman" w:eastAsia="Times New Roman" w:hAnsi="Times New Roman" w:cs="Times New Roman"/>
                <w:color w:val="000000"/>
              </w:rPr>
            </w:pPr>
            <w:r w:rsidRPr="004A73C2">
              <w:rPr>
                <w:rFonts w:ascii="Times New Roman" w:eastAsia="Times New Roman" w:hAnsi="Times New Roman" w:cs="Times New Roman"/>
                <w:b/>
                <w:color w:val="000000"/>
              </w:rPr>
              <w:t>Panel A: Observed</w:t>
            </w:r>
          </w:p>
        </w:tc>
        <w:tc>
          <w:tcPr>
            <w:tcW w:w="1917" w:type="dxa"/>
            <w:tcBorders>
              <w:top w:val="nil"/>
              <w:left w:val="nil"/>
              <w:bottom w:val="nil"/>
              <w:right w:val="nil"/>
            </w:tcBorders>
            <w:shd w:val="clear" w:color="auto" w:fill="auto"/>
            <w:vAlign w:val="bottom"/>
            <w:hideMark/>
          </w:tcPr>
          <w:p w14:paraId="2F0BCB22" w14:textId="77777777" w:rsidR="000F7C00" w:rsidRPr="000F3F8F" w:rsidRDefault="000F7C00" w:rsidP="00211FA3">
            <w:pPr>
              <w:spacing w:after="0" w:line="240" w:lineRule="auto"/>
              <w:jc w:val="center"/>
              <w:rPr>
                <w:rFonts w:ascii="Times New Roman" w:eastAsia="Times New Roman" w:hAnsi="Times New Roman" w:cs="Times New Roman"/>
                <w:color w:val="000000"/>
                <w:sz w:val="20"/>
                <w:szCs w:val="20"/>
              </w:rPr>
            </w:pPr>
          </w:p>
        </w:tc>
        <w:tc>
          <w:tcPr>
            <w:tcW w:w="2461" w:type="dxa"/>
            <w:tcBorders>
              <w:top w:val="nil"/>
              <w:left w:val="nil"/>
              <w:bottom w:val="nil"/>
              <w:right w:val="nil"/>
            </w:tcBorders>
            <w:shd w:val="clear" w:color="auto" w:fill="auto"/>
            <w:vAlign w:val="bottom"/>
            <w:hideMark/>
          </w:tcPr>
          <w:p w14:paraId="727CA93F" w14:textId="77777777" w:rsidR="000F7C00" w:rsidRPr="000F3F8F" w:rsidRDefault="000F7C00" w:rsidP="00211FA3">
            <w:pPr>
              <w:spacing w:after="0" w:line="240" w:lineRule="auto"/>
              <w:jc w:val="center"/>
              <w:rPr>
                <w:rFonts w:ascii="Times New Roman" w:eastAsia="Times New Roman" w:hAnsi="Times New Roman" w:cs="Times New Roman"/>
                <w:sz w:val="20"/>
                <w:szCs w:val="20"/>
              </w:rPr>
            </w:pPr>
          </w:p>
        </w:tc>
        <w:tc>
          <w:tcPr>
            <w:tcW w:w="2039" w:type="dxa"/>
            <w:tcBorders>
              <w:top w:val="nil"/>
              <w:left w:val="nil"/>
              <w:bottom w:val="nil"/>
              <w:right w:val="nil"/>
            </w:tcBorders>
            <w:shd w:val="clear" w:color="auto" w:fill="auto"/>
            <w:vAlign w:val="bottom"/>
            <w:hideMark/>
          </w:tcPr>
          <w:p w14:paraId="3375C42F" w14:textId="77777777" w:rsidR="000F7C00" w:rsidRPr="000F3F8F" w:rsidRDefault="000F7C00" w:rsidP="00211FA3">
            <w:pPr>
              <w:spacing w:after="0" w:line="240" w:lineRule="auto"/>
              <w:jc w:val="center"/>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vAlign w:val="bottom"/>
            <w:hideMark/>
          </w:tcPr>
          <w:p w14:paraId="47F400F0" w14:textId="77777777" w:rsidR="000F7C00" w:rsidRPr="000F3F8F" w:rsidRDefault="000F7C00" w:rsidP="00211FA3">
            <w:pPr>
              <w:spacing w:after="0" w:line="240" w:lineRule="auto"/>
              <w:jc w:val="center"/>
              <w:rPr>
                <w:rFonts w:ascii="Times New Roman" w:eastAsia="Times New Roman" w:hAnsi="Times New Roman" w:cs="Times New Roman"/>
                <w:sz w:val="20"/>
                <w:szCs w:val="20"/>
              </w:rPr>
            </w:pPr>
          </w:p>
        </w:tc>
      </w:tr>
      <w:tr w:rsidR="00F05A1C" w:rsidRPr="000F3F8F" w14:paraId="36AF1E94" w14:textId="77777777" w:rsidTr="00211FA3">
        <w:trPr>
          <w:trHeight w:val="280"/>
          <w:jc w:val="center"/>
        </w:trPr>
        <w:tc>
          <w:tcPr>
            <w:tcW w:w="4203" w:type="dxa"/>
            <w:tcBorders>
              <w:top w:val="nil"/>
              <w:left w:val="nil"/>
              <w:bottom w:val="nil"/>
              <w:right w:val="nil"/>
            </w:tcBorders>
            <w:shd w:val="clear" w:color="auto" w:fill="auto"/>
            <w:noWrap/>
            <w:vAlign w:val="bottom"/>
            <w:hideMark/>
          </w:tcPr>
          <w:p w14:paraId="5B728196" w14:textId="77777777" w:rsidR="00F05A1C" w:rsidRPr="000F3F8F" w:rsidRDefault="00F05A1C" w:rsidP="00F05A1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0F3F8F">
              <w:rPr>
                <w:rFonts w:ascii="Times New Roman" w:eastAsia="Times New Roman" w:hAnsi="Times New Roman" w:cs="Times New Roman"/>
                <w:color w:val="000000"/>
              </w:rPr>
              <w:t>1979</w:t>
            </w:r>
          </w:p>
        </w:tc>
        <w:tc>
          <w:tcPr>
            <w:tcW w:w="1917" w:type="dxa"/>
            <w:tcBorders>
              <w:top w:val="nil"/>
              <w:left w:val="nil"/>
              <w:bottom w:val="nil"/>
              <w:right w:val="nil"/>
            </w:tcBorders>
            <w:shd w:val="clear" w:color="auto" w:fill="auto"/>
            <w:noWrap/>
            <w:vAlign w:val="center"/>
            <w:hideMark/>
          </w:tcPr>
          <w:p w14:paraId="52E2475C" w14:textId="6282FDAC" w:rsidR="00F05A1C" w:rsidRPr="00F05A1C" w:rsidRDefault="00F05A1C" w:rsidP="00F05A1C">
            <w:pPr>
              <w:spacing w:after="0" w:line="240" w:lineRule="auto"/>
              <w:jc w:val="center"/>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25.69%</w:t>
            </w:r>
          </w:p>
        </w:tc>
        <w:tc>
          <w:tcPr>
            <w:tcW w:w="2461" w:type="dxa"/>
            <w:tcBorders>
              <w:top w:val="nil"/>
              <w:left w:val="nil"/>
              <w:bottom w:val="nil"/>
              <w:right w:val="nil"/>
            </w:tcBorders>
            <w:shd w:val="clear" w:color="auto" w:fill="auto"/>
            <w:noWrap/>
            <w:vAlign w:val="center"/>
            <w:hideMark/>
          </w:tcPr>
          <w:p w14:paraId="4DD87587" w14:textId="564A92EA" w:rsidR="00F05A1C" w:rsidRPr="00F05A1C" w:rsidRDefault="00F05A1C" w:rsidP="00F05A1C">
            <w:pPr>
              <w:spacing w:after="0" w:line="240" w:lineRule="auto"/>
              <w:jc w:val="center"/>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33.33%</w:t>
            </w:r>
          </w:p>
        </w:tc>
        <w:tc>
          <w:tcPr>
            <w:tcW w:w="2039" w:type="dxa"/>
            <w:tcBorders>
              <w:top w:val="nil"/>
              <w:left w:val="nil"/>
              <w:bottom w:val="nil"/>
              <w:right w:val="nil"/>
            </w:tcBorders>
            <w:shd w:val="clear" w:color="auto" w:fill="auto"/>
            <w:noWrap/>
            <w:vAlign w:val="center"/>
            <w:hideMark/>
          </w:tcPr>
          <w:p w14:paraId="0421A579" w14:textId="05F2F646" w:rsidR="00F05A1C" w:rsidRPr="00F05A1C" w:rsidRDefault="00F05A1C" w:rsidP="00F05A1C">
            <w:pPr>
              <w:spacing w:after="0" w:line="240" w:lineRule="auto"/>
              <w:jc w:val="center"/>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42.27%</w:t>
            </w:r>
          </w:p>
        </w:tc>
        <w:tc>
          <w:tcPr>
            <w:tcW w:w="2070" w:type="dxa"/>
            <w:tcBorders>
              <w:top w:val="nil"/>
              <w:left w:val="nil"/>
              <w:bottom w:val="nil"/>
              <w:right w:val="nil"/>
            </w:tcBorders>
            <w:shd w:val="clear" w:color="auto" w:fill="auto"/>
            <w:noWrap/>
            <w:vAlign w:val="center"/>
            <w:hideMark/>
          </w:tcPr>
          <w:p w14:paraId="19D5B5E0" w14:textId="54DE980C" w:rsidR="00F05A1C" w:rsidRPr="00F05A1C" w:rsidRDefault="00F05A1C" w:rsidP="00F05A1C">
            <w:pPr>
              <w:spacing w:after="0" w:line="240" w:lineRule="auto"/>
              <w:jc w:val="center"/>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52.49%</w:t>
            </w:r>
          </w:p>
        </w:tc>
      </w:tr>
      <w:tr w:rsidR="00F05A1C" w:rsidRPr="000F3F8F" w14:paraId="25FF7D74" w14:textId="77777777" w:rsidTr="00211FA3">
        <w:trPr>
          <w:trHeight w:val="280"/>
          <w:jc w:val="center"/>
        </w:trPr>
        <w:tc>
          <w:tcPr>
            <w:tcW w:w="4203" w:type="dxa"/>
            <w:tcBorders>
              <w:top w:val="nil"/>
              <w:left w:val="nil"/>
              <w:bottom w:val="nil"/>
              <w:right w:val="nil"/>
            </w:tcBorders>
            <w:shd w:val="clear" w:color="auto" w:fill="auto"/>
            <w:noWrap/>
            <w:vAlign w:val="bottom"/>
            <w:hideMark/>
          </w:tcPr>
          <w:p w14:paraId="7734E330" w14:textId="77777777" w:rsidR="00F05A1C" w:rsidRPr="000F3F8F" w:rsidRDefault="00F05A1C" w:rsidP="00F05A1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0F3F8F">
              <w:rPr>
                <w:rFonts w:ascii="Times New Roman" w:eastAsia="Times New Roman" w:hAnsi="Times New Roman" w:cs="Times New Roman"/>
                <w:color w:val="000000"/>
              </w:rPr>
              <w:t>2018</w:t>
            </w:r>
          </w:p>
        </w:tc>
        <w:tc>
          <w:tcPr>
            <w:tcW w:w="1917" w:type="dxa"/>
            <w:tcBorders>
              <w:top w:val="nil"/>
              <w:left w:val="nil"/>
              <w:bottom w:val="nil"/>
              <w:right w:val="nil"/>
            </w:tcBorders>
            <w:shd w:val="clear" w:color="auto" w:fill="auto"/>
            <w:noWrap/>
            <w:vAlign w:val="center"/>
            <w:hideMark/>
          </w:tcPr>
          <w:p w14:paraId="42FC96F5" w14:textId="7A7BDC2C" w:rsidR="00F05A1C" w:rsidRPr="00F05A1C" w:rsidRDefault="00F05A1C" w:rsidP="00F05A1C">
            <w:pPr>
              <w:spacing w:after="0" w:line="240" w:lineRule="auto"/>
              <w:jc w:val="center"/>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30.58%</w:t>
            </w:r>
          </w:p>
        </w:tc>
        <w:tc>
          <w:tcPr>
            <w:tcW w:w="2461" w:type="dxa"/>
            <w:tcBorders>
              <w:top w:val="nil"/>
              <w:left w:val="nil"/>
              <w:bottom w:val="nil"/>
              <w:right w:val="nil"/>
            </w:tcBorders>
            <w:shd w:val="clear" w:color="auto" w:fill="auto"/>
            <w:noWrap/>
            <w:vAlign w:val="center"/>
            <w:hideMark/>
          </w:tcPr>
          <w:p w14:paraId="6F380BD8" w14:textId="7CBA7FB0" w:rsidR="00F05A1C" w:rsidRPr="00F05A1C" w:rsidRDefault="00F05A1C" w:rsidP="00F05A1C">
            <w:pPr>
              <w:spacing w:after="0" w:line="240" w:lineRule="auto"/>
              <w:jc w:val="center"/>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38.73%</w:t>
            </w:r>
          </w:p>
        </w:tc>
        <w:tc>
          <w:tcPr>
            <w:tcW w:w="2039" w:type="dxa"/>
            <w:tcBorders>
              <w:top w:val="nil"/>
              <w:left w:val="nil"/>
              <w:bottom w:val="nil"/>
              <w:right w:val="nil"/>
            </w:tcBorders>
            <w:shd w:val="clear" w:color="auto" w:fill="auto"/>
            <w:noWrap/>
            <w:vAlign w:val="center"/>
            <w:hideMark/>
          </w:tcPr>
          <w:p w14:paraId="542B4B50" w14:textId="19C17EF2" w:rsidR="00F05A1C" w:rsidRPr="00F05A1C" w:rsidRDefault="00F05A1C" w:rsidP="00F05A1C">
            <w:pPr>
              <w:spacing w:after="0" w:line="240" w:lineRule="auto"/>
              <w:jc w:val="center"/>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47.51%</w:t>
            </w:r>
          </w:p>
        </w:tc>
        <w:tc>
          <w:tcPr>
            <w:tcW w:w="2070" w:type="dxa"/>
            <w:tcBorders>
              <w:top w:val="nil"/>
              <w:left w:val="nil"/>
              <w:bottom w:val="nil"/>
              <w:right w:val="nil"/>
            </w:tcBorders>
            <w:shd w:val="clear" w:color="auto" w:fill="auto"/>
            <w:noWrap/>
            <w:vAlign w:val="center"/>
            <w:hideMark/>
          </w:tcPr>
          <w:p w14:paraId="1BF520FE" w14:textId="2F2FD512" w:rsidR="00F05A1C" w:rsidRPr="00F05A1C" w:rsidRDefault="00F05A1C" w:rsidP="00F05A1C">
            <w:pPr>
              <w:spacing w:after="0" w:line="240" w:lineRule="auto"/>
              <w:jc w:val="center"/>
              <w:rPr>
                <w:rFonts w:ascii="Times New Roman" w:eastAsia="Times New Roman" w:hAnsi="Times New Roman" w:cs="Times New Roman"/>
                <w:color w:val="000000"/>
                <w:sz w:val="24"/>
                <w:szCs w:val="24"/>
              </w:rPr>
            </w:pPr>
            <w:r w:rsidRPr="004B26C9">
              <w:rPr>
                <w:rFonts w:ascii="Times New Roman" w:hAnsi="Times New Roman" w:cs="Times New Roman"/>
                <w:color w:val="000000"/>
                <w:sz w:val="24"/>
                <w:szCs w:val="24"/>
              </w:rPr>
              <w:t>55.22%</w:t>
            </w:r>
          </w:p>
        </w:tc>
      </w:tr>
      <w:tr w:rsidR="000F7C00" w:rsidRPr="000F3F8F" w14:paraId="1E5D3AFA" w14:textId="77777777" w:rsidTr="00211FA3">
        <w:trPr>
          <w:trHeight w:val="130"/>
          <w:jc w:val="center"/>
        </w:trPr>
        <w:tc>
          <w:tcPr>
            <w:tcW w:w="4203" w:type="dxa"/>
            <w:tcBorders>
              <w:top w:val="nil"/>
              <w:left w:val="nil"/>
              <w:bottom w:val="nil"/>
              <w:right w:val="nil"/>
            </w:tcBorders>
            <w:shd w:val="clear" w:color="auto" w:fill="auto"/>
            <w:noWrap/>
            <w:vAlign w:val="bottom"/>
            <w:hideMark/>
          </w:tcPr>
          <w:p w14:paraId="557C8210" w14:textId="77777777" w:rsidR="000F7C00" w:rsidRPr="000F3F8F" w:rsidRDefault="000F7C00" w:rsidP="00211FA3">
            <w:pPr>
              <w:spacing w:after="0" w:line="240" w:lineRule="auto"/>
              <w:jc w:val="right"/>
              <w:rPr>
                <w:rFonts w:ascii="Times New Roman" w:eastAsia="Times New Roman" w:hAnsi="Times New Roman" w:cs="Times New Roman"/>
                <w:color w:val="000000"/>
              </w:rPr>
            </w:pPr>
          </w:p>
        </w:tc>
        <w:tc>
          <w:tcPr>
            <w:tcW w:w="1917" w:type="dxa"/>
            <w:tcBorders>
              <w:top w:val="nil"/>
              <w:left w:val="nil"/>
              <w:bottom w:val="nil"/>
              <w:right w:val="nil"/>
            </w:tcBorders>
            <w:shd w:val="clear" w:color="auto" w:fill="auto"/>
            <w:noWrap/>
            <w:vAlign w:val="bottom"/>
            <w:hideMark/>
          </w:tcPr>
          <w:p w14:paraId="24967F20" w14:textId="77777777" w:rsidR="000F7C00" w:rsidRPr="000F3F8F" w:rsidRDefault="000F7C00" w:rsidP="00211FA3">
            <w:pPr>
              <w:spacing w:after="0" w:line="240" w:lineRule="auto"/>
              <w:jc w:val="center"/>
              <w:rPr>
                <w:rFonts w:ascii="Times New Roman" w:eastAsia="Times New Roman" w:hAnsi="Times New Roman" w:cs="Times New Roman"/>
                <w:sz w:val="20"/>
                <w:szCs w:val="20"/>
              </w:rPr>
            </w:pPr>
          </w:p>
        </w:tc>
        <w:tc>
          <w:tcPr>
            <w:tcW w:w="2461" w:type="dxa"/>
            <w:tcBorders>
              <w:top w:val="nil"/>
              <w:left w:val="nil"/>
              <w:bottom w:val="nil"/>
              <w:right w:val="nil"/>
            </w:tcBorders>
            <w:shd w:val="clear" w:color="auto" w:fill="auto"/>
            <w:noWrap/>
            <w:vAlign w:val="bottom"/>
            <w:hideMark/>
          </w:tcPr>
          <w:p w14:paraId="3C97A3E6" w14:textId="77777777" w:rsidR="000F7C00" w:rsidRPr="000F3F8F" w:rsidRDefault="000F7C00" w:rsidP="00211FA3">
            <w:pPr>
              <w:spacing w:after="0" w:line="240" w:lineRule="auto"/>
              <w:jc w:val="center"/>
              <w:rPr>
                <w:rFonts w:ascii="Times New Roman" w:eastAsia="Times New Roman" w:hAnsi="Times New Roman" w:cs="Times New Roman"/>
                <w:sz w:val="20"/>
                <w:szCs w:val="20"/>
              </w:rPr>
            </w:pPr>
          </w:p>
        </w:tc>
        <w:tc>
          <w:tcPr>
            <w:tcW w:w="2039" w:type="dxa"/>
            <w:tcBorders>
              <w:top w:val="nil"/>
              <w:left w:val="nil"/>
              <w:bottom w:val="nil"/>
              <w:right w:val="nil"/>
            </w:tcBorders>
            <w:shd w:val="clear" w:color="auto" w:fill="auto"/>
            <w:noWrap/>
            <w:vAlign w:val="bottom"/>
            <w:hideMark/>
          </w:tcPr>
          <w:p w14:paraId="20778E04" w14:textId="77777777" w:rsidR="000F7C00" w:rsidRPr="000F3F8F" w:rsidRDefault="000F7C00" w:rsidP="00211FA3">
            <w:pPr>
              <w:spacing w:after="0" w:line="240" w:lineRule="auto"/>
              <w:jc w:val="center"/>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bottom"/>
            <w:hideMark/>
          </w:tcPr>
          <w:p w14:paraId="258FF2AA" w14:textId="77777777" w:rsidR="000F7C00" w:rsidRPr="000F3F8F" w:rsidRDefault="000F7C00" w:rsidP="00211FA3">
            <w:pPr>
              <w:spacing w:after="0" w:line="240" w:lineRule="auto"/>
              <w:jc w:val="center"/>
              <w:rPr>
                <w:rFonts w:ascii="Times New Roman" w:eastAsia="Times New Roman" w:hAnsi="Times New Roman" w:cs="Times New Roman"/>
                <w:sz w:val="20"/>
                <w:szCs w:val="20"/>
              </w:rPr>
            </w:pPr>
          </w:p>
        </w:tc>
      </w:tr>
      <w:tr w:rsidR="000F7C00" w:rsidRPr="000F3F8F" w14:paraId="0439B731" w14:textId="77777777" w:rsidTr="00211FA3">
        <w:trPr>
          <w:trHeight w:val="432"/>
          <w:jc w:val="center"/>
        </w:trPr>
        <w:tc>
          <w:tcPr>
            <w:tcW w:w="4203" w:type="dxa"/>
            <w:tcBorders>
              <w:top w:val="nil"/>
              <w:left w:val="nil"/>
              <w:bottom w:val="nil"/>
              <w:right w:val="nil"/>
            </w:tcBorders>
            <w:shd w:val="clear" w:color="auto" w:fill="auto"/>
            <w:noWrap/>
            <w:vAlign w:val="bottom"/>
            <w:hideMark/>
          </w:tcPr>
          <w:p w14:paraId="79AC4CC7" w14:textId="77777777" w:rsidR="000F7C00" w:rsidRPr="000F3F8F" w:rsidRDefault="000F7C00" w:rsidP="00211FA3">
            <w:pPr>
              <w:spacing w:after="0" w:line="240" w:lineRule="auto"/>
              <w:rPr>
                <w:rFonts w:ascii="Times New Roman" w:eastAsia="Times New Roman" w:hAnsi="Times New Roman" w:cs="Times New Roman"/>
                <w:color w:val="000000"/>
              </w:rPr>
            </w:pPr>
            <w:r w:rsidRPr="004A73C2">
              <w:rPr>
                <w:rFonts w:ascii="Times New Roman" w:eastAsia="Times New Roman" w:hAnsi="Times New Roman" w:cs="Times New Roman"/>
                <w:b/>
                <w:color w:val="000000"/>
              </w:rPr>
              <w:t>Panel B: 2018 Simulations</w:t>
            </w:r>
          </w:p>
        </w:tc>
        <w:tc>
          <w:tcPr>
            <w:tcW w:w="1917" w:type="dxa"/>
            <w:tcBorders>
              <w:top w:val="nil"/>
              <w:left w:val="nil"/>
              <w:bottom w:val="nil"/>
              <w:right w:val="nil"/>
            </w:tcBorders>
            <w:shd w:val="clear" w:color="auto" w:fill="auto"/>
            <w:noWrap/>
            <w:vAlign w:val="bottom"/>
            <w:hideMark/>
          </w:tcPr>
          <w:p w14:paraId="620A64D4" w14:textId="77777777" w:rsidR="000F7C00" w:rsidRPr="000F3F8F" w:rsidRDefault="000F7C00" w:rsidP="00211FA3">
            <w:pPr>
              <w:spacing w:after="0" w:line="240" w:lineRule="auto"/>
              <w:jc w:val="center"/>
              <w:rPr>
                <w:rFonts w:ascii="Times New Roman" w:eastAsia="Times New Roman" w:hAnsi="Times New Roman" w:cs="Times New Roman"/>
                <w:color w:val="000000"/>
              </w:rPr>
            </w:pPr>
          </w:p>
        </w:tc>
        <w:tc>
          <w:tcPr>
            <w:tcW w:w="2461" w:type="dxa"/>
            <w:tcBorders>
              <w:top w:val="nil"/>
              <w:left w:val="nil"/>
              <w:bottom w:val="nil"/>
              <w:right w:val="nil"/>
            </w:tcBorders>
            <w:shd w:val="clear" w:color="auto" w:fill="auto"/>
            <w:noWrap/>
            <w:vAlign w:val="bottom"/>
            <w:hideMark/>
          </w:tcPr>
          <w:p w14:paraId="43CB00A4" w14:textId="77777777" w:rsidR="000F7C00" w:rsidRPr="000F3F8F" w:rsidRDefault="000F7C00" w:rsidP="00211FA3">
            <w:pPr>
              <w:spacing w:after="0" w:line="240" w:lineRule="auto"/>
              <w:jc w:val="center"/>
              <w:rPr>
                <w:rFonts w:ascii="Times New Roman" w:eastAsia="Times New Roman" w:hAnsi="Times New Roman" w:cs="Times New Roman"/>
                <w:sz w:val="20"/>
                <w:szCs w:val="20"/>
              </w:rPr>
            </w:pPr>
          </w:p>
        </w:tc>
        <w:tc>
          <w:tcPr>
            <w:tcW w:w="2039" w:type="dxa"/>
            <w:tcBorders>
              <w:top w:val="nil"/>
              <w:left w:val="nil"/>
              <w:bottom w:val="nil"/>
              <w:right w:val="nil"/>
            </w:tcBorders>
            <w:shd w:val="clear" w:color="auto" w:fill="auto"/>
            <w:noWrap/>
            <w:vAlign w:val="bottom"/>
            <w:hideMark/>
          </w:tcPr>
          <w:p w14:paraId="5DE4756F" w14:textId="77777777" w:rsidR="000F7C00" w:rsidRPr="000F3F8F" w:rsidRDefault="000F7C00" w:rsidP="00211FA3">
            <w:pPr>
              <w:spacing w:after="0" w:line="240" w:lineRule="auto"/>
              <w:jc w:val="center"/>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bottom"/>
            <w:hideMark/>
          </w:tcPr>
          <w:p w14:paraId="207A05B5" w14:textId="77777777" w:rsidR="000F7C00" w:rsidRPr="000F3F8F" w:rsidRDefault="000F7C00" w:rsidP="00211FA3">
            <w:pPr>
              <w:spacing w:after="0" w:line="240" w:lineRule="auto"/>
              <w:jc w:val="center"/>
              <w:rPr>
                <w:rFonts w:ascii="Times New Roman" w:eastAsia="Times New Roman" w:hAnsi="Times New Roman" w:cs="Times New Roman"/>
                <w:sz w:val="20"/>
                <w:szCs w:val="20"/>
              </w:rPr>
            </w:pPr>
          </w:p>
        </w:tc>
      </w:tr>
      <w:tr w:rsidR="000F7C00" w:rsidRPr="000F3F8F" w14:paraId="650CE928" w14:textId="77777777" w:rsidTr="00211FA3">
        <w:trPr>
          <w:trHeight w:val="280"/>
          <w:jc w:val="center"/>
        </w:trPr>
        <w:tc>
          <w:tcPr>
            <w:tcW w:w="4203" w:type="dxa"/>
            <w:tcBorders>
              <w:top w:val="nil"/>
              <w:left w:val="nil"/>
              <w:bottom w:val="nil"/>
              <w:right w:val="nil"/>
            </w:tcBorders>
            <w:shd w:val="clear" w:color="auto" w:fill="auto"/>
            <w:noWrap/>
            <w:vAlign w:val="bottom"/>
            <w:hideMark/>
          </w:tcPr>
          <w:p w14:paraId="35357C63" w14:textId="77777777" w:rsidR="000F7C00" w:rsidRPr="001A4B46" w:rsidRDefault="000F7C00" w:rsidP="00211FA3">
            <w:pPr>
              <w:spacing w:after="0" w:line="240" w:lineRule="auto"/>
              <w:rPr>
                <w:rFonts w:ascii="Times New Roman" w:eastAsia="Times New Roman" w:hAnsi="Times New Roman" w:cs="Times New Roman"/>
                <w:i/>
                <w:color w:val="000000"/>
              </w:rPr>
            </w:pPr>
            <w:r w:rsidRPr="000F3F8F">
              <w:rPr>
                <w:rFonts w:ascii="Times New Roman" w:eastAsia="Times New Roman" w:hAnsi="Times New Roman" w:cs="Times New Roman"/>
                <w:color w:val="000000"/>
              </w:rPr>
              <w:t xml:space="preserve">     </w:t>
            </w:r>
            <w:r w:rsidRPr="001A4B46">
              <w:rPr>
                <w:rFonts w:ascii="Times New Roman" w:eastAsia="Times New Roman" w:hAnsi="Times New Roman" w:cs="Times New Roman"/>
                <w:i/>
                <w:color w:val="000000"/>
              </w:rPr>
              <w:t>Distribution Method</w:t>
            </w:r>
          </w:p>
        </w:tc>
        <w:tc>
          <w:tcPr>
            <w:tcW w:w="1917" w:type="dxa"/>
            <w:tcBorders>
              <w:top w:val="nil"/>
              <w:left w:val="nil"/>
              <w:bottom w:val="nil"/>
              <w:right w:val="nil"/>
            </w:tcBorders>
            <w:shd w:val="clear" w:color="auto" w:fill="auto"/>
            <w:noWrap/>
            <w:vAlign w:val="bottom"/>
            <w:hideMark/>
          </w:tcPr>
          <w:p w14:paraId="5FF1B489" w14:textId="77777777" w:rsidR="000F7C00" w:rsidRPr="000F3F8F" w:rsidRDefault="000F7C00" w:rsidP="00211FA3">
            <w:pPr>
              <w:spacing w:after="0" w:line="240" w:lineRule="auto"/>
              <w:jc w:val="center"/>
              <w:rPr>
                <w:rFonts w:ascii="Times New Roman" w:eastAsia="Times New Roman" w:hAnsi="Times New Roman" w:cs="Times New Roman"/>
                <w:color w:val="000000"/>
              </w:rPr>
            </w:pPr>
          </w:p>
        </w:tc>
        <w:tc>
          <w:tcPr>
            <w:tcW w:w="2461" w:type="dxa"/>
            <w:tcBorders>
              <w:top w:val="nil"/>
              <w:left w:val="nil"/>
              <w:bottom w:val="nil"/>
              <w:right w:val="nil"/>
            </w:tcBorders>
            <w:shd w:val="clear" w:color="auto" w:fill="auto"/>
            <w:noWrap/>
            <w:vAlign w:val="bottom"/>
            <w:hideMark/>
          </w:tcPr>
          <w:p w14:paraId="56A7CC0D" w14:textId="77777777" w:rsidR="000F7C00" w:rsidRPr="000F3F8F" w:rsidRDefault="000F7C00" w:rsidP="00211FA3">
            <w:pPr>
              <w:spacing w:after="0" w:line="240" w:lineRule="auto"/>
              <w:jc w:val="center"/>
              <w:rPr>
                <w:rFonts w:ascii="Times New Roman" w:eastAsia="Times New Roman" w:hAnsi="Times New Roman" w:cs="Times New Roman"/>
                <w:sz w:val="20"/>
                <w:szCs w:val="20"/>
              </w:rPr>
            </w:pPr>
          </w:p>
        </w:tc>
        <w:tc>
          <w:tcPr>
            <w:tcW w:w="2039" w:type="dxa"/>
            <w:tcBorders>
              <w:top w:val="nil"/>
              <w:left w:val="nil"/>
              <w:bottom w:val="nil"/>
              <w:right w:val="nil"/>
            </w:tcBorders>
            <w:shd w:val="clear" w:color="auto" w:fill="auto"/>
            <w:noWrap/>
            <w:vAlign w:val="bottom"/>
            <w:hideMark/>
          </w:tcPr>
          <w:p w14:paraId="7E4BF838" w14:textId="77777777" w:rsidR="000F7C00" w:rsidRPr="000F3F8F" w:rsidRDefault="000F7C00" w:rsidP="00211FA3">
            <w:pPr>
              <w:spacing w:after="0" w:line="240" w:lineRule="auto"/>
              <w:jc w:val="center"/>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bottom"/>
            <w:hideMark/>
          </w:tcPr>
          <w:p w14:paraId="437E72F5" w14:textId="77777777" w:rsidR="000F7C00" w:rsidRPr="000F3F8F" w:rsidRDefault="000F7C00" w:rsidP="00211FA3">
            <w:pPr>
              <w:spacing w:after="0" w:line="240" w:lineRule="auto"/>
              <w:jc w:val="center"/>
              <w:rPr>
                <w:rFonts w:ascii="Times New Roman" w:eastAsia="Times New Roman" w:hAnsi="Times New Roman" w:cs="Times New Roman"/>
                <w:sz w:val="20"/>
                <w:szCs w:val="20"/>
              </w:rPr>
            </w:pPr>
          </w:p>
        </w:tc>
      </w:tr>
      <w:tr w:rsidR="00012514" w:rsidRPr="000F3F8F" w14:paraId="10FDE2E4" w14:textId="77777777" w:rsidTr="00265CE6">
        <w:trPr>
          <w:trHeight w:val="280"/>
          <w:jc w:val="center"/>
        </w:trPr>
        <w:tc>
          <w:tcPr>
            <w:tcW w:w="4203" w:type="dxa"/>
            <w:tcBorders>
              <w:top w:val="nil"/>
              <w:left w:val="nil"/>
              <w:bottom w:val="nil"/>
              <w:right w:val="nil"/>
            </w:tcBorders>
            <w:shd w:val="clear" w:color="auto" w:fill="auto"/>
            <w:noWrap/>
            <w:vAlign w:val="bottom"/>
            <w:hideMark/>
          </w:tcPr>
          <w:p w14:paraId="3B59A0A9" w14:textId="77777777" w:rsidR="00012514" w:rsidRPr="000F3F8F" w:rsidRDefault="00012514" w:rsidP="00012514">
            <w:pPr>
              <w:spacing w:after="0" w:line="240" w:lineRule="auto"/>
              <w:rPr>
                <w:rFonts w:ascii="Times New Roman" w:eastAsia="Times New Roman" w:hAnsi="Times New Roman" w:cs="Times New Roman"/>
                <w:color w:val="000000"/>
              </w:rPr>
            </w:pPr>
            <w:r w:rsidRPr="00A446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1) R</w:t>
            </w:r>
            <w:r w:rsidRPr="0066434B">
              <w:rPr>
                <w:rFonts w:ascii="Times New Roman" w:eastAsia="Times New Roman" w:hAnsi="Times New Roman" w:cs="Times New Roman"/>
                <w:color w:val="000000"/>
                <w:sz w:val="24"/>
                <w:szCs w:val="24"/>
              </w:rPr>
              <w:t xml:space="preserve">aise BA </w:t>
            </w:r>
            <w:r>
              <w:rPr>
                <w:rFonts w:ascii="Times New Roman" w:eastAsia="Times New Roman" w:hAnsi="Times New Roman" w:cs="Times New Roman"/>
                <w:color w:val="000000"/>
                <w:sz w:val="24"/>
                <w:szCs w:val="24"/>
              </w:rPr>
              <w:t xml:space="preserve">share </w:t>
            </w:r>
            <w:r w:rsidRPr="0066434B">
              <w:rPr>
                <w:rFonts w:ascii="Times New Roman" w:eastAsia="Times New Roman" w:hAnsi="Times New Roman" w:cs="Times New Roman"/>
                <w:color w:val="000000"/>
                <w:sz w:val="24"/>
                <w:szCs w:val="24"/>
              </w:rPr>
              <w:t>to 50%</w:t>
            </w:r>
          </w:p>
        </w:tc>
        <w:tc>
          <w:tcPr>
            <w:tcW w:w="1917" w:type="dxa"/>
            <w:tcBorders>
              <w:top w:val="nil"/>
              <w:left w:val="nil"/>
              <w:bottom w:val="nil"/>
              <w:right w:val="nil"/>
            </w:tcBorders>
            <w:shd w:val="clear" w:color="auto" w:fill="auto"/>
            <w:noWrap/>
            <w:vAlign w:val="bottom"/>
            <w:hideMark/>
          </w:tcPr>
          <w:p w14:paraId="78755A45" w14:textId="5A5D41A0" w:rsidR="00012514" w:rsidRPr="00012514" w:rsidRDefault="00012514" w:rsidP="00012514">
            <w:pPr>
              <w:spacing w:after="0" w:line="240" w:lineRule="auto"/>
              <w:jc w:val="center"/>
              <w:rPr>
                <w:rFonts w:ascii="Times New Roman" w:eastAsia="Times New Roman" w:hAnsi="Times New Roman" w:cs="Times New Roman"/>
                <w:color w:val="000000"/>
                <w:sz w:val="24"/>
                <w:szCs w:val="24"/>
              </w:rPr>
            </w:pPr>
            <w:r w:rsidRPr="00012514">
              <w:rPr>
                <w:rFonts w:ascii="Times New Roman" w:hAnsi="Times New Roman" w:cs="Times New Roman"/>
                <w:color w:val="000000"/>
                <w:sz w:val="24"/>
                <w:szCs w:val="24"/>
              </w:rPr>
              <w:t>29.17%</w:t>
            </w:r>
          </w:p>
        </w:tc>
        <w:tc>
          <w:tcPr>
            <w:tcW w:w="2461" w:type="dxa"/>
            <w:tcBorders>
              <w:top w:val="nil"/>
              <w:left w:val="nil"/>
              <w:bottom w:val="nil"/>
              <w:right w:val="nil"/>
            </w:tcBorders>
            <w:shd w:val="clear" w:color="auto" w:fill="auto"/>
            <w:noWrap/>
            <w:vAlign w:val="bottom"/>
            <w:hideMark/>
          </w:tcPr>
          <w:p w14:paraId="4914F1F7" w14:textId="3DD99A35" w:rsidR="00012514" w:rsidRPr="00012514" w:rsidRDefault="00012514" w:rsidP="00012514">
            <w:pPr>
              <w:spacing w:after="0" w:line="240" w:lineRule="auto"/>
              <w:jc w:val="center"/>
              <w:rPr>
                <w:rFonts w:ascii="Times New Roman" w:eastAsia="Times New Roman" w:hAnsi="Times New Roman" w:cs="Times New Roman"/>
                <w:color w:val="000000"/>
                <w:sz w:val="24"/>
                <w:szCs w:val="24"/>
              </w:rPr>
            </w:pPr>
            <w:r w:rsidRPr="00012514">
              <w:rPr>
                <w:rFonts w:ascii="Times New Roman" w:hAnsi="Times New Roman" w:cs="Times New Roman"/>
                <w:color w:val="000000"/>
                <w:sz w:val="24"/>
                <w:szCs w:val="24"/>
              </w:rPr>
              <w:t>36.37%</w:t>
            </w:r>
          </w:p>
        </w:tc>
        <w:tc>
          <w:tcPr>
            <w:tcW w:w="2039" w:type="dxa"/>
            <w:tcBorders>
              <w:top w:val="nil"/>
              <w:left w:val="nil"/>
              <w:bottom w:val="nil"/>
              <w:right w:val="nil"/>
            </w:tcBorders>
            <w:shd w:val="clear" w:color="auto" w:fill="auto"/>
            <w:noWrap/>
            <w:vAlign w:val="bottom"/>
            <w:hideMark/>
          </w:tcPr>
          <w:p w14:paraId="439375F5" w14:textId="24ED0C26" w:rsidR="00012514" w:rsidRPr="00012514" w:rsidRDefault="00012514" w:rsidP="00012514">
            <w:pPr>
              <w:spacing w:after="0" w:line="240" w:lineRule="auto"/>
              <w:jc w:val="center"/>
              <w:rPr>
                <w:rFonts w:ascii="Times New Roman" w:eastAsia="Times New Roman" w:hAnsi="Times New Roman" w:cs="Times New Roman"/>
                <w:color w:val="000000"/>
                <w:sz w:val="24"/>
                <w:szCs w:val="24"/>
              </w:rPr>
            </w:pPr>
            <w:r w:rsidRPr="00012514">
              <w:rPr>
                <w:rFonts w:ascii="Times New Roman" w:hAnsi="Times New Roman" w:cs="Times New Roman"/>
                <w:color w:val="000000"/>
                <w:sz w:val="24"/>
                <w:szCs w:val="24"/>
              </w:rPr>
              <w:t>44.25%</w:t>
            </w:r>
          </w:p>
        </w:tc>
        <w:tc>
          <w:tcPr>
            <w:tcW w:w="2070" w:type="dxa"/>
            <w:tcBorders>
              <w:top w:val="nil"/>
              <w:left w:val="nil"/>
              <w:bottom w:val="nil"/>
              <w:right w:val="nil"/>
            </w:tcBorders>
            <w:shd w:val="clear" w:color="auto" w:fill="auto"/>
            <w:noWrap/>
            <w:vAlign w:val="bottom"/>
            <w:hideMark/>
          </w:tcPr>
          <w:p w14:paraId="0B21210F" w14:textId="2556386D" w:rsidR="00012514" w:rsidRPr="00012514" w:rsidRDefault="00012514" w:rsidP="00012514">
            <w:pPr>
              <w:spacing w:after="0" w:line="240" w:lineRule="auto"/>
              <w:jc w:val="center"/>
              <w:rPr>
                <w:rFonts w:ascii="Times New Roman" w:eastAsia="Times New Roman" w:hAnsi="Times New Roman" w:cs="Times New Roman"/>
                <w:color w:val="000000"/>
                <w:sz w:val="24"/>
                <w:szCs w:val="24"/>
              </w:rPr>
            </w:pPr>
            <w:r w:rsidRPr="00012514">
              <w:rPr>
                <w:rFonts w:ascii="Times New Roman" w:hAnsi="Times New Roman" w:cs="Times New Roman"/>
                <w:color w:val="000000"/>
                <w:sz w:val="24"/>
                <w:szCs w:val="24"/>
              </w:rPr>
              <w:t>51.79%</w:t>
            </w:r>
          </w:p>
        </w:tc>
      </w:tr>
      <w:tr w:rsidR="00012514" w:rsidRPr="000F3F8F" w14:paraId="04E2BBB9" w14:textId="77777777" w:rsidTr="00265CE6">
        <w:trPr>
          <w:trHeight w:val="280"/>
          <w:jc w:val="center"/>
        </w:trPr>
        <w:tc>
          <w:tcPr>
            <w:tcW w:w="4203" w:type="dxa"/>
            <w:tcBorders>
              <w:top w:val="nil"/>
              <w:left w:val="nil"/>
              <w:bottom w:val="nil"/>
              <w:right w:val="nil"/>
            </w:tcBorders>
            <w:shd w:val="clear" w:color="auto" w:fill="auto"/>
            <w:noWrap/>
            <w:vAlign w:val="bottom"/>
            <w:hideMark/>
          </w:tcPr>
          <w:p w14:paraId="76F5FF45" w14:textId="77777777" w:rsidR="00012514" w:rsidRPr="000F3F8F" w:rsidRDefault="00012514" w:rsidP="00012514">
            <w:pPr>
              <w:spacing w:after="0" w:line="240" w:lineRule="auto"/>
              <w:rPr>
                <w:rFonts w:ascii="Times New Roman" w:eastAsia="Times New Roman" w:hAnsi="Times New Roman" w:cs="Times New Roman"/>
                <w:color w:val="000000"/>
              </w:rPr>
            </w:pPr>
            <w:r w:rsidRPr="00A446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2) + Raise A</w:t>
            </w:r>
            <w:r w:rsidRPr="0066434B">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share to 15</w:t>
            </w:r>
            <w:r w:rsidRPr="0066434B">
              <w:rPr>
                <w:rFonts w:ascii="Times New Roman" w:eastAsia="Times New Roman" w:hAnsi="Times New Roman" w:cs="Times New Roman"/>
                <w:color w:val="000000"/>
                <w:sz w:val="24"/>
                <w:szCs w:val="24"/>
              </w:rPr>
              <w:t>%</w:t>
            </w:r>
          </w:p>
        </w:tc>
        <w:tc>
          <w:tcPr>
            <w:tcW w:w="1917" w:type="dxa"/>
            <w:tcBorders>
              <w:top w:val="nil"/>
              <w:left w:val="nil"/>
              <w:bottom w:val="nil"/>
              <w:right w:val="nil"/>
            </w:tcBorders>
            <w:shd w:val="clear" w:color="auto" w:fill="auto"/>
            <w:noWrap/>
            <w:vAlign w:val="bottom"/>
            <w:hideMark/>
          </w:tcPr>
          <w:p w14:paraId="564EEDFB" w14:textId="06D046FD" w:rsidR="00012514" w:rsidRPr="00012514" w:rsidRDefault="00012514" w:rsidP="00012514">
            <w:pPr>
              <w:spacing w:after="0" w:line="240" w:lineRule="auto"/>
              <w:jc w:val="center"/>
              <w:rPr>
                <w:rFonts w:ascii="Times New Roman" w:eastAsia="Times New Roman" w:hAnsi="Times New Roman" w:cs="Times New Roman"/>
                <w:color w:val="000000"/>
                <w:sz w:val="24"/>
                <w:szCs w:val="24"/>
              </w:rPr>
            </w:pPr>
            <w:r w:rsidRPr="00012514">
              <w:rPr>
                <w:rFonts w:ascii="Times New Roman" w:hAnsi="Times New Roman" w:cs="Times New Roman"/>
                <w:color w:val="000000"/>
                <w:sz w:val="24"/>
                <w:szCs w:val="24"/>
              </w:rPr>
              <w:t>28.72%</w:t>
            </w:r>
          </w:p>
        </w:tc>
        <w:tc>
          <w:tcPr>
            <w:tcW w:w="2461" w:type="dxa"/>
            <w:tcBorders>
              <w:top w:val="nil"/>
              <w:left w:val="nil"/>
              <w:bottom w:val="nil"/>
              <w:right w:val="nil"/>
            </w:tcBorders>
            <w:shd w:val="clear" w:color="auto" w:fill="auto"/>
            <w:noWrap/>
            <w:vAlign w:val="bottom"/>
            <w:hideMark/>
          </w:tcPr>
          <w:p w14:paraId="2D0C9006" w14:textId="568EABCF" w:rsidR="00012514" w:rsidRPr="00012514" w:rsidRDefault="00012514" w:rsidP="00012514">
            <w:pPr>
              <w:spacing w:after="0" w:line="240" w:lineRule="auto"/>
              <w:jc w:val="center"/>
              <w:rPr>
                <w:rFonts w:ascii="Times New Roman" w:eastAsia="Times New Roman" w:hAnsi="Times New Roman" w:cs="Times New Roman"/>
                <w:color w:val="000000"/>
                <w:sz w:val="24"/>
                <w:szCs w:val="24"/>
              </w:rPr>
            </w:pPr>
            <w:r w:rsidRPr="00012514">
              <w:rPr>
                <w:rFonts w:ascii="Times New Roman" w:hAnsi="Times New Roman" w:cs="Times New Roman"/>
                <w:color w:val="000000"/>
                <w:sz w:val="24"/>
                <w:szCs w:val="24"/>
              </w:rPr>
              <w:t>35.95%</w:t>
            </w:r>
          </w:p>
        </w:tc>
        <w:tc>
          <w:tcPr>
            <w:tcW w:w="2039" w:type="dxa"/>
            <w:tcBorders>
              <w:top w:val="nil"/>
              <w:left w:val="nil"/>
              <w:bottom w:val="nil"/>
              <w:right w:val="nil"/>
            </w:tcBorders>
            <w:shd w:val="clear" w:color="auto" w:fill="auto"/>
            <w:noWrap/>
            <w:vAlign w:val="bottom"/>
            <w:hideMark/>
          </w:tcPr>
          <w:p w14:paraId="55FE07DA" w14:textId="5E05042A" w:rsidR="00012514" w:rsidRPr="00012514" w:rsidRDefault="00012514" w:rsidP="00012514">
            <w:pPr>
              <w:spacing w:after="0" w:line="240" w:lineRule="auto"/>
              <w:jc w:val="center"/>
              <w:rPr>
                <w:rFonts w:ascii="Times New Roman" w:eastAsia="Times New Roman" w:hAnsi="Times New Roman" w:cs="Times New Roman"/>
                <w:color w:val="000000"/>
                <w:sz w:val="24"/>
                <w:szCs w:val="24"/>
              </w:rPr>
            </w:pPr>
            <w:r w:rsidRPr="00012514">
              <w:rPr>
                <w:rFonts w:ascii="Times New Roman" w:hAnsi="Times New Roman" w:cs="Times New Roman"/>
                <w:color w:val="000000"/>
                <w:sz w:val="24"/>
                <w:szCs w:val="24"/>
              </w:rPr>
              <w:t>43.81%</w:t>
            </w:r>
          </w:p>
        </w:tc>
        <w:tc>
          <w:tcPr>
            <w:tcW w:w="2070" w:type="dxa"/>
            <w:tcBorders>
              <w:top w:val="nil"/>
              <w:left w:val="nil"/>
              <w:bottom w:val="nil"/>
              <w:right w:val="nil"/>
            </w:tcBorders>
            <w:shd w:val="clear" w:color="auto" w:fill="auto"/>
            <w:noWrap/>
            <w:vAlign w:val="bottom"/>
            <w:hideMark/>
          </w:tcPr>
          <w:p w14:paraId="0D800F97" w14:textId="4AEB5FCE" w:rsidR="00012514" w:rsidRPr="00012514" w:rsidRDefault="00012514" w:rsidP="00012514">
            <w:pPr>
              <w:spacing w:after="0" w:line="240" w:lineRule="auto"/>
              <w:jc w:val="center"/>
              <w:rPr>
                <w:rFonts w:ascii="Times New Roman" w:eastAsia="Times New Roman" w:hAnsi="Times New Roman" w:cs="Times New Roman"/>
                <w:color w:val="000000"/>
                <w:sz w:val="24"/>
                <w:szCs w:val="24"/>
              </w:rPr>
            </w:pPr>
            <w:r w:rsidRPr="00012514">
              <w:rPr>
                <w:rFonts w:ascii="Times New Roman" w:hAnsi="Times New Roman" w:cs="Times New Roman"/>
                <w:color w:val="000000"/>
                <w:sz w:val="24"/>
                <w:szCs w:val="24"/>
              </w:rPr>
              <w:t>51.44%</w:t>
            </w:r>
          </w:p>
        </w:tc>
      </w:tr>
      <w:tr w:rsidR="00012514" w:rsidRPr="000F3F8F" w14:paraId="2D86379B" w14:textId="77777777" w:rsidTr="00265CE6">
        <w:trPr>
          <w:trHeight w:val="280"/>
          <w:jc w:val="center"/>
        </w:trPr>
        <w:tc>
          <w:tcPr>
            <w:tcW w:w="4203" w:type="dxa"/>
            <w:tcBorders>
              <w:top w:val="nil"/>
              <w:left w:val="nil"/>
              <w:bottom w:val="nil"/>
              <w:right w:val="nil"/>
            </w:tcBorders>
            <w:shd w:val="clear" w:color="auto" w:fill="auto"/>
            <w:noWrap/>
            <w:vAlign w:val="bottom"/>
            <w:hideMark/>
          </w:tcPr>
          <w:p w14:paraId="09484D9A" w14:textId="77777777" w:rsidR="00012514" w:rsidRPr="000F3F8F" w:rsidRDefault="00012514" w:rsidP="00012514">
            <w:pPr>
              <w:spacing w:after="0" w:line="240" w:lineRule="auto"/>
              <w:rPr>
                <w:rFonts w:ascii="Times New Roman" w:eastAsia="Times New Roman" w:hAnsi="Times New Roman" w:cs="Times New Roman"/>
                <w:color w:val="000000"/>
              </w:rPr>
            </w:pPr>
            <w:r w:rsidRPr="00A446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3) 6</w:t>
            </w:r>
            <w:r w:rsidRPr="0066434B">
              <w:rPr>
                <w:rFonts w:ascii="Times New Roman" w:eastAsia="Times New Roman" w:hAnsi="Times New Roman" w:cs="Times New Roman"/>
                <w:color w:val="000000"/>
                <w:sz w:val="24"/>
                <w:szCs w:val="24"/>
              </w:rPr>
              <w:t xml:space="preserve">0% </w:t>
            </w:r>
            <w:r>
              <w:rPr>
                <w:rFonts w:ascii="Times New Roman" w:eastAsia="Times New Roman" w:hAnsi="Times New Roman" w:cs="Times New Roman"/>
                <w:color w:val="000000"/>
                <w:sz w:val="24"/>
                <w:szCs w:val="24"/>
              </w:rPr>
              <w:t>B</w:t>
            </w:r>
            <w:r w:rsidRPr="0066434B">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share</w:t>
            </w:r>
            <w:r w:rsidRPr="0066434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w:t>
            </w:r>
            <w:r w:rsidRPr="0066434B">
              <w:rPr>
                <w:rFonts w:ascii="Times New Roman" w:eastAsia="Times New Roman" w:hAnsi="Times New Roman" w:cs="Times New Roman"/>
                <w:color w:val="000000"/>
                <w:sz w:val="24"/>
                <w:szCs w:val="24"/>
              </w:rPr>
              <w:t xml:space="preserve">0% </w:t>
            </w:r>
            <w:r>
              <w:rPr>
                <w:rFonts w:ascii="Times New Roman" w:eastAsia="Times New Roman" w:hAnsi="Times New Roman" w:cs="Times New Roman"/>
                <w:color w:val="000000"/>
                <w:sz w:val="24"/>
                <w:szCs w:val="24"/>
              </w:rPr>
              <w:t>A</w:t>
            </w:r>
            <w:r w:rsidRPr="0066434B">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share</w:t>
            </w:r>
          </w:p>
        </w:tc>
        <w:tc>
          <w:tcPr>
            <w:tcW w:w="1917" w:type="dxa"/>
            <w:tcBorders>
              <w:top w:val="nil"/>
              <w:left w:val="nil"/>
              <w:bottom w:val="nil"/>
              <w:right w:val="nil"/>
            </w:tcBorders>
            <w:shd w:val="clear" w:color="auto" w:fill="auto"/>
            <w:noWrap/>
            <w:vAlign w:val="bottom"/>
            <w:hideMark/>
          </w:tcPr>
          <w:p w14:paraId="35D5B28F" w14:textId="708E35E1" w:rsidR="00012514" w:rsidRPr="00012514" w:rsidRDefault="00012514" w:rsidP="00012514">
            <w:pPr>
              <w:spacing w:after="0" w:line="240" w:lineRule="auto"/>
              <w:jc w:val="center"/>
              <w:rPr>
                <w:rFonts w:ascii="Times New Roman" w:eastAsia="Times New Roman" w:hAnsi="Times New Roman" w:cs="Times New Roman"/>
                <w:color w:val="000000"/>
                <w:sz w:val="24"/>
                <w:szCs w:val="24"/>
              </w:rPr>
            </w:pPr>
            <w:r w:rsidRPr="00012514">
              <w:rPr>
                <w:rFonts w:ascii="Times New Roman" w:hAnsi="Times New Roman" w:cs="Times New Roman"/>
                <w:color w:val="000000"/>
                <w:sz w:val="24"/>
                <w:szCs w:val="24"/>
              </w:rPr>
              <w:t>27.38%</w:t>
            </w:r>
          </w:p>
        </w:tc>
        <w:tc>
          <w:tcPr>
            <w:tcW w:w="2461" w:type="dxa"/>
            <w:tcBorders>
              <w:top w:val="nil"/>
              <w:left w:val="nil"/>
              <w:bottom w:val="nil"/>
              <w:right w:val="nil"/>
            </w:tcBorders>
            <w:shd w:val="clear" w:color="auto" w:fill="auto"/>
            <w:noWrap/>
            <w:vAlign w:val="bottom"/>
            <w:hideMark/>
          </w:tcPr>
          <w:p w14:paraId="622FF8D4" w14:textId="4D845C44" w:rsidR="00012514" w:rsidRPr="00012514" w:rsidRDefault="00012514" w:rsidP="00012514">
            <w:pPr>
              <w:spacing w:after="0" w:line="240" w:lineRule="auto"/>
              <w:jc w:val="center"/>
              <w:rPr>
                <w:rFonts w:ascii="Times New Roman" w:eastAsia="Times New Roman" w:hAnsi="Times New Roman" w:cs="Times New Roman"/>
                <w:color w:val="000000"/>
                <w:sz w:val="24"/>
                <w:szCs w:val="24"/>
              </w:rPr>
            </w:pPr>
            <w:r w:rsidRPr="00012514">
              <w:rPr>
                <w:rFonts w:ascii="Times New Roman" w:hAnsi="Times New Roman" w:cs="Times New Roman"/>
                <w:color w:val="000000"/>
                <w:sz w:val="24"/>
                <w:szCs w:val="24"/>
              </w:rPr>
              <w:t>33.90%</w:t>
            </w:r>
          </w:p>
        </w:tc>
        <w:tc>
          <w:tcPr>
            <w:tcW w:w="2039" w:type="dxa"/>
            <w:tcBorders>
              <w:top w:val="nil"/>
              <w:left w:val="nil"/>
              <w:bottom w:val="nil"/>
              <w:right w:val="nil"/>
            </w:tcBorders>
            <w:shd w:val="clear" w:color="auto" w:fill="auto"/>
            <w:noWrap/>
            <w:vAlign w:val="bottom"/>
            <w:hideMark/>
          </w:tcPr>
          <w:p w14:paraId="6569D7E5" w14:textId="187B1129" w:rsidR="00012514" w:rsidRPr="00012514" w:rsidRDefault="00012514" w:rsidP="00012514">
            <w:pPr>
              <w:spacing w:after="0" w:line="240" w:lineRule="auto"/>
              <w:jc w:val="center"/>
              <w:rPr>
                <w:rFonts w:ascii="Times New Roman" w:eastAsia="Times New Roman" w:hAnsi="Times New Roman" w:cs="Times New Roman"/>
                <w:color w:val="000000"/>
                <w:sz w:val="24"/>
                <w:szCs w:val="24"/>
              </w:rPr>
            </w:pPr>
            <w:r w:rsidRPr="00012514">
              <w:rPr>
                <w:rFonts w:ascii="Times New Roman" w:hAnsi="Times New Roman" w:cs="Times New Roman"/>
                <w:color w:val="000000"/>
                <w:sz w:val="24"/>
                <w:szCs w:val="24"/>
              </w:rPr>
              <w:t>41.55%</w:t>
            </w:r>
          </w:p>
        </w:tc>
        <w:tc>
          <w:tcPr>
            <w:tcW w:w="2070" w:type="dxa"/>
            <w:tcBorders>
              <w:top w:val="nil"/>
              <w:left w:val="nil"/>
              <w:bottom w:val="nil"/>
              <w:right w:val="nil"/>
            </w:tcBorders>
            <w:shd w:val="clear" w:color="auto" w:fill="auto"/>
            <w:noWrap/>
            <w:vAlign w:val="bottom"/>
            <w:hideMark/>
          </w:tcPr>
          <w:p w14:paraId="288C6833" w14:textId="01533220" w:rsidR="00012514" w:rsidRPr="00012514" w:rsidRDefault="00012514" w:rsidP="00012514">
            <w:pPr>
              <w:spacing w:after="0" w:line="240" w:lineRule="auto"/>
              <w:jc w:val="center"/>
              <w:rPr>
                <w:rFonts w:ascii="Times New Roman" w:eastAsia="Times New Roman" w:hAnsi="Times New Roman" w:cs="Times New Roman"/>
                <w:color w:val="000000"/>
                <w:sz w:val="24"/>
                <w:szCs w:val="24"/>
              </w:rPr>
            </w:pPr>
            <w:r w:rsidRPr="00012514">
              <w:rPr>
                <w:rFonts w:ascii="Times New Roman" w:hAnsi="Times New Roman" w:cs="Times New Roman"/>
                <w:color w:val="000000"/>
                <w:sz w:val="24"/>
                <w:szCs w:val="24"/>
              </w:rPr>
              <w:t>49.23%</w:t>
            </w:r>
          </w:p>
        </w:tc>
      </w:tr>
      <w:tr w:rsidR="00D259F5" w:rsidRPr="000F3F8F" w14:paraId="770028BD" w14:textId="77777777" w:rsidTr="00211FA3">
        <w:trPr>
          <w:trHeight w:val="432"/>
          <w:jc w:val="center"/>
        </w:trPr>
        <w:tc>
          <w:tcPr>
            <w:tcW w:w="4203" w:type="dxa"/>
            <w:tcBorders>
              <w:top w:val="nil"/>
              <w:left w:val="nil"/>
              <w:bottom w:val="nil"/>
              <w:right w:val="nil"/>
            </w:tcBorders>
            <w:shd w:val="clear" w:color="auto" w:fill="auto"/>
            <w:noWrap/>
            <w:vAlign w:val="bottom"/>
            <w:hideMark/>
          </w:tcPr>
          <w:p w14:paraId="11100F4D" w14:textId="77777777" w:rsidR="00D259F5" w:rsidRPr="001A4B46" w:rsidRDefault="00D259F5" w:rsidP="00D259F5">
            <w:pPr>
              <w:spacing w:after="0" w:line="240" w:lineRule="auto"/>
              <w:rPr>
                <w:rFonts w:ascii="Times New Roman" w:eastAsia="Times New Roman" w:hAnsi="Times New Roman" w:cs="Times New Roman"/>
                <w:i/>
                <w:color w:val="000000"/>
              </w:rPr>
            </w:pPr>
            <w:r w:rsidRPr="000F3F8F">
              <w:rPr>
                <w:rFonts w:ascii="Times New Roman" w:eastAsia="Times New Roman" w:hAnsi="Times New Roman" w:cs="Times New Roman"/>
                <w:color w:val="000000"/>
              </w:rPr>
              <w:t xml:space="preserve">    </w:t>
            </w:r>
            <w:r w:rsidRPr="001A4B46">
              <w:rPr>
                <w:rFonts w:ascii="Times New Roman" w:eastAsia="Times New Roman" w:hAnsi="Times New Roman" w:cs="Times New Roman"/>
                <w:i/>
                <w:color w:val="000000"/>
              </w:rPr>
              <w:t>Causal Parameter Method</w:t>
            </w:r>
          </w:p>
        </w:tc>
        <w:tc>
          <w:tcPr>
            <w:tcW w:w="1917" w:type="dxa"/>
            <w:tcBorders>
              <w:top w:val="nil"/>
              <w:left w:val="nil"/>
              <w:bottom w:val="nil"/>
              <w:right w:val="nil"/>
            </w:tcBorders>
            <w:shd w:val="clear" w:color="auto" w:fill="auto"/>
            <w:noWrap/>
            <w:vAlign w:val="bottom"/>
            <w:hideMark/>
          </w:tcPr>
          <w:p w14:paraId="3027B638" w14:textId="77777777" w:rsidR="00D259F5" w:rsidRPr="00012514" w:rsidRDefault="00D259F5" w:rsidP="00D259F5">
            <w:pPr>
              <w:spacing w:after="0" w:line="240" w:lineRule="auto"/>
              <w:jc w:val="center"/>
              <w:rPr>
                <w:rFonts w:ascii="Times New Roman" w:eastAsia="Times New Roman" w:hAnsi="Times New Roman" w:cs="Times New Roman"/>
                <w:color w:val="000000"/>
                <w:sz w:val="24"/>
                <w:szCs w:val="24"/>
              </w:rPr>
            </w:pPr>
          </w:p>
        </w:tc>
        <w:tc>
          <w:tcPr>
            <w:tcW w:w="2461" w:type="dxa"/>
            <w:tcBorders>
              <w:top w:val="nil"/>
              <w:left w:val="nil"/>
              <w:bottom w:val="nil"/>
              <w:right w:val="nil"/>
            </w:tcBorders>
            <w:shd w:val="clear" w:color="auto" w:fill="auto"/>
            <w:noWrap/>
            <w:vAlign w:val="bottom"/>
            <w:hideMark/>
          </w:tcPr>
          <w:p w14:paraId="7E86537D" w14:textId="77777777" w:rsidR="00D259F5" w:rsidRPr="00012514" w:rsidRDefault="00D259F5" w:rsidP="00D259F5">
            <w:pPr>
              <w:spacing w:after="0" w:line="240" w:lineRule="auto"/>
              <w:jc w:val="center"/>
              <w:rPr>
                <w:rFonts w:ascii="Times New Roman" w:eastAsia="Times New Roman" w:hAnsi="Times New Roman" w:cs="Times New Roman"/>
                <w:sz w:val="24"/>
                <w:szCs w:val="24"/>
              </w:rPr>
            </w:pPr>
          </w:p>
        </w:tc>
        <w:tc>
          <w:tcPr>
            <w:tcW w:w="2039" w:type="dxa"/>
            <w:tcBorders>
              <w:top w:val="nil"/>
              <w:left w:val="nil"/>
              <w:bottom w:val="nil"/>
              <w:right w:val="nil"/>
            </w:tcBorders>
            <w:shd w:val="clear" w:color="auto" w:fill="auto"/>
            <w:noWrap/>
            <w:vAlign w:val="bottom"/>
            <w:hideMark/>
          </w:tcPr>
          <w:p w14:paraId="023DD7C1" w14:textId="77777777" w:rsidR="00D259F5" w:rsidRPr="00012514" w:rsidRDefault="00D259F5" w:rsidP="00D259F5">
            <w:pPr>
              <w:spacing w:after="0" w:line="240" w:lineRule="auto"/>
              <w:jc w:val="center"/>
              <w:rPr>
                <w:rFonts w:ascii="Times New Roman" w:eastAsia="Times New Roman" w:hAnsi="Times New Roman" w:cs="Times New Roman"/>
                <w:sz w:val="24"/>
                <w:szCs w:val="24"/>
              </w:rPr>
            </w:pPr>
          </w:p>
        </w:tc>
        <w:tc>
          <w:tcPr>
            <w:tcW w:w="2070" w:type="dxa"/>
            <w:tcBorders>
              <w:top w:val="nil"/>
              <w:left w:val="nil"/>
              <w:bottom w:val="nil"/>
              <w:right w:val="nil"/>
            </w:tcBorders>
            <w:shd w:val="clear" w:color="auto" w:fill="auto"/>
            <w:noWrap/>
            <w:vAlign w:val="bottom"/>
            <w:hideMark/>
          </w:tcPr>
          <w:p w14:paraId="198AA59D" w14:textId="77777777" w:rsidR="00D259F5" w:rsidRPr="00012514" w:rsidRDefault="00D259F5" w:rsidP="00D259F5">
            <w:pPr>
              <w:spacing w:after="0" w:line="240" w:lineRule="auto"/>
              <w:jc w:val="center"/>
              <w:rPr>
                <w:rFonts w:ascii="Times New Roman" w:eastAsia="Times New Roman" w:hAnsi="Times New Roman" w:cs="Times New Roman"/>
                <w:sz w:val="24"/>
                <w:szCs w:val="24"/>
              </w:rPr>
            </w:pPr>
          </w:p>
        </w:tc>
      </w:tr>
      <w:tr w:rsidR="00012514" w:rsidRPr="000F3F8F" w14:paraId="52700262" w14:textId="77777777" w:rsidTr="002101D4">
        <w:trPr>
          <w:trHeight w:val="280"/>
          <w:jc w:val="center"/>
        </w:trPr>
        <w:tc>
          <w:tcPr>
            <w:tcW w:w="4203" w:type="dxa"/>
            <w:tcBorders>
              <w:top w:val="nil"/>
              <w:left w:val="nil"/>
              <w:bottom w:val="nil"/>
              <w:right w:val="nil"/>
            </w:tcBorders>
            <w:shd w:val="clear" w:color="auto" w:fill="auto"/>
            <w:noWrap/>
            <w:vAlign w:val="bottom"/>
            <w:hideMark/>
          </w:tcPr>
          <w:p w14:paraId="5C27CE0C" w14:textId="77777777" w:rsidR="00012514" w:rsidRPr="000F3F8F" w:rsidRDefault="00012514" w:rsidP="00012514">
            <w:pPr>
              <w:spacing w:after="0" w:line="240" w:lineRule="auto"/>
              <w:rPr>
                <w:rFonts w:ascii="Times New Roman" w:eastAsia="Times New Roman" w:hAnsi="Times New Roman" w:cs="Times New Roman"/>
                <w:color w:val="000000"/>
              </w:rPr>
            </w:pPr>
            <w:r w:rsidRPr="00A446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1) R</w:t>
            </w:r>
            <w:r w:rsidRPr="0066434B">
              <w:rPr>
                <w:rFonts w:ascii="Times New Roman" w:eastAsia="Times New Roman" w:hAnsi="Times New Roman" w:cs="Times New Roman"/>
                <w:color w:val="000000"/>
                <w:sz w:val="24"/>
                <w:szCs w:val="24"/>
              </w:rPr>
              <w:t xml:space="preserve">aise BA </w:t>
            </w:r>
            <w:r>
              <w:rPr>
                <w:rFonts w:ascii="Times New Roman" w:eastAsia="Times New Roman" w:hAnsi="Times New Roman" w:cs="Times New Roman"/>
                <w:color w:val="000000"/>
                <w:sz w:val="24"/>
                <w:szCs w:val="24"/>
              </w:rPr>
              <w:t xml:space="preserve">share </w:t>
            </w:r>
            <w:r w:rsidRPr="0066434B">
              <w:rPr>
                <w:rFonts w:ascii="Times New Roman" w:eastAsia="Times New Roman" w:hAnsi="Times New Roman" w:cs="Times New Roman"/>
                <w:color w:val="000000"/>
                <w:sz w:val="24"/>
                <w:szCs w:val="24"/>
              </w:rPr>
              <w:t>to 50%</w:t>
            </w:r>
          </w:p>
        </w:tc>
        <w:tc>
          <w:tcPr>
            <w:tcW w:w="1917" w:type="dxa"/>
            <w:tcBorders>
              <w:top w:val="nil"/>
              <w:left w:val="nil"/>
              <w:bottom w:val="nil"/>
              <w:right w:val="nil"/>
            </w:tcBorders>
            <w:shd w:val="clear" w:color="auto" w:fill="auto"/>
            <w:noWrap/>
            <w:vAlign w:val="bottom"/>
            <w:hideMark/>
          </w:tcPr>
          <w:p w14:paraId="7E189811" w14:textId="1D2BCB81" w:rsidR="00012514" w:rsidRPr="00012514" w:rsidRDefault="00012514" w:rsidP="00012514">
            <w:pPr>
              <w:spacing w:after="0" w:line="240" w:lineRule="auto"/>
              <w:jc w:val="center"/>
              <w:rPr>
                <w:rFonts w:ascii="Times New Roman" w:eastAsia="Times New Roman" w:hAnsi="Times New Roman" w:cs="Times New Roman"/>
                <w:color w:val="000000"/>
                <w:sz w:val="24"/>
                <w:szCs w:val="24"/>
              </w:rPr>
            </w:pPr>
            <w:r w:rsidRPr="00012514">
              <w:rPr>
                <w:rFonts w:ascii="Times New Roman" w:hAnsi="Times New Roman" w:cs="Times New Roman"/>
                <w:color w:val="000000"/>
                <w:sz w:val="24"/>
                <w:szCs w:val="24"/>
              </w:rPr>
              <w:t>30.21%</w:t>
            </w:r>
          </w:p>
        </w:tc>
        <w:tc>
          <w:tcPr>
            <w:tcW w:w="2461" w:type="dxa"/>
            <w:tcBorders>
              <w:top w:val="nil"/>
              <w:left w:val="nil"/>
              <w:bottom w:val="nil"/>
              <w:right w:val="nil"/>
            </w:tcBorders>
            <w:shd w:val="clear" w:color="auto" w:fill="auto"/>
            <w:noWrap/>
            <w:vAlign w:val="bottom"/>
            <w:hideMark/>
          </w:tcPr>
          <w:p w14:paraId="108ED218" w14:textId="6B7E2020" w:rsidR="00012514" w:rsidRPr="00012514" w:rsidRDefault="00012514" w:rsidP="00012514">
            <w:pPr>
              <w:spacing w:after="0" w:line="240" w:lineRule="auto"/>
              <w:jc w:val="center"/>
              <w:rPr>
                <w:rFonts w:ascii="Times New Roman" w:eastAsia="Times New Roman" w:hAnsi="Times New Roman" w:cs="Times New Roman"/>
                <w:color w:val="000000"/>
                <w:sz w:val="24"/>
                <w:szCs w:val="24"/>
              </w:rPr>
            </w:pPr>
            <w:r w:rsidRPr="00012514">
              <w:rPr>
                <w:rFonts w:ascii="Times New Roman" w:hAnsi="Times New Roman" w:cs="Times New Roman"/>
                <w:color w:val="000000"/>
                <w:sz w:val="24"/>
                <w:szCs w:val="24"/>
              </w:rPr>
              <w:t>37.43%</w:t>
            </w:r>
          </w:p>
        </w:tc>
        <w:tc>
          <w:tcPr>
            <w:tcW w:w="2039" w:type="dxa"/>
            <w:tcBorders>
              <w:top w:val="nil"/>
              <w:left w:val="nil"/>
              <w:bottom w:val="nil"/>
              <w:right w:val="nil"/>
            </w:tcBorders>
            <w:shd w:val="clear" w:color="auto" w:fill="auto"/>
            <w:noWrap/>
            <w:vAlign w:val="bottom"/>
            <w:hideMark/>
          </w:tcPr>
          <w:p w14:paraId="521E9764" w14:textId="7464841D" w:rsidR="00012514" w:rsidRPr="00012514" w:rsidRDefault="00012514" w:rsidP="00012514">
            <w:pPr>
              <w:spacing w:after="0" w:line="240" w:lineRule="auto"/>
              <w:jc w:val="center"/>
              <w:rPr>
                <w:rFonts w:ascii="Times New Roman" w:eastAsia="Times New Roman" w:hAnsi="Times New Roman" w:cs="Times New Roman"/>
                <w:color w:val="000000"/>
                <w:sz w:val="24"/>
                <w:szCs w:val="24"/>
              </w:rPr>
            </w:pPr>
            <w:r w:rsidRPr="00012514">
              <w:rPr>
                <w:rFonts w:ascii="Times New Roman" w:hAnsi="Times New Roman" w:cs="Times New Roman"/>
                <w:color w:val="000000"/>
                <w:sz w:val="24"/>
                <w:szCs w:val="24"/>
              </w:rPr>
              <w:t>45.40%</w:t>
            </w:r>
          </w:p>
        </w:tc>
        <w:tc>
          <w:tcPr>
            <w:tcW w:w="2070" w:type="dxa"/>
            <w:tcBorders>
              <w:top w:val="nil"/>
              <w:left w:val="nil"/>
              <w:bottom w:val="nil"/>
              <w:right w:val="nil"/>
            </w:tcBorders>
            <w:shd w:val="clear" w:color="auto" w:fill="auto"/>
            <w:noWrap/>
            <w:vAlign w:val="bottom"/>
            <w:hideMark/>
          </w:tcPr>
          <w:p w14:paraId="7AA2CBC3" w14:textId="15537E1A" w:rsidR="00012514" w:rsidRPr="00012514" w:rsidRDefault="00012514" w:rsidP="00012514">
            <w:pPr>
              <w:spacing w:after="0" w:line="240" w:lineRule="auto"/>
              <w:jc w:val="center"/>
              <w:rPr>
                <w:rFonts w:ascii="Times New Roman" w:eastAsia="Times New Roman" w:hAnsi="Times New Roman" w:cs="Times New Roman"/>
                <w:color w:val="000000"/>
                <w:sz w:val="24"/>
                <w:szCs w:val="24"/>
              </w:rPr>
            </w:pPr>
            <w:r w:rsidRPr="00012514">
              <w:rPr>
                <w:rFonts w:ascii="Times New Roman" w:hAnsi="Times New Roman" w:cs="Times New Roman"/>
                <w:color w:val="000000"/>
                <w:sz w:val="24"/>
                <w:szCs w:val="24"/>
              </w:rPr>
              <w:t>53.20%</w:t>
            </w:r>
          </w:p>
        </w:tc>
      </w:tr>
      <w:tr w:rsidR="00012514" w:rsidRPr="000F3F8F" w14:paraId="63DE736E" w14:textId="77777777" w:rsidTr="002101D4">
        <w:trPr>
          <w:trHeight w:val="280"/>
          <w:jc w:val="center"/>
        </w:trPr>
        <w:tc>
          <w:tcPr>
            <w:tcW w:w="4203" w:type="dxa"/>
            <w:tcBorders>
              <w:top w:val="nil"/>
              <w:left w:val="nil"/>
              <w:bottom w:val="nil"/>
              <w:right w:val="nil"/>
            </w:tcBorders>
            <w:shd w:val="clear" w:color="auto" w:fill="auto"/>
            <w:noWrap/>
            <w:vAlign w:val="bottom"/>
            <w:hideMark/>
          </w:tcPr>
          <w:p w14:paraId="2E183DE6" w14:textId="77777777" w:rsidR="00012514" w:rsidRPr="000F3F8F" w:rsidRDefault="00012514" w:rsidP="00012514">
            <w:pPr>
              <w:spacing w:after="0" w:line="240" w:lineRule="auto"/>
              <w:rPr>
                <w:rFonts w:ascii="Times New Roman" w:eastAsia="Times New Roman" w:hAnsi="Times New Roman" w:cs="Times New Roman"/>
                <w:color w:val="000000"/>
              </w:rPr>
            </w:pPr>
            <w:r w:rsidRPr="00A446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2) + Raise A</w:t>
            </w:r>
            <w:r w:rsidRPr="0066434B">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share to 15</w:t>
            </w:r>
            <w:r w:rsidRPr="0066434B">
              <w:rPr>
                <w:rFonts w:ascii="Times New Roman" w:eastAsia="Times New Roman" w:hAnsi="Times New Roman" w:cs="Times New Roman"/>
                <w:color w:val="000000"/>
                <w:sz w:val="24"/>
                <w:szCs w:val="24"/>
              </w:rPr>
              <w:t>%</w:t>
            </w:r>
          </w:p>
        </w:tc>
        <w:tc>
          <w:tcPr>
            <w:tcW w:w="1917" w:type="dxa"/>
            <w:tcBorders>
              <w:top w:val="nil"/>
              <w:left w:val="nil"/>
              <w:bottom w:val="nil"/>
              <w:right w:val="nil"/>
            </w:tcBorders>
            <w:shd w:val="clear" w:color="auto" w:fill="auto"/>
            <w:noWrap/>
            <w:vAlign w:val="bottom"/>
            <w:hideMark/>
          </w:tcPr>
          <w:p w14:paraId="730B614A" w14:textId="4B1378A4" w:rsidR="00012514" w:rsidRPr="00012514" w:rsidRDefault="00012514" w:rsidP="00012514">
            <w:pPr>
              <w:spacing w:after="0" w:line="240" w:lineRule="auto"/>
              <w:jc w:val="center"/>
              <w:rPr>
                <w:rFonts w:ascii="Times New Roman" w:eastAsia="Times New Roman" w:hAnsi="Times New Roman" w:cs="Times New Roman"/>
                <w:color w:val="000000"/>
                <w:sz w:val="24"/>
                <w:szCs w:val="24"/>
              </w:rPr>
            </w:pPr>
            <w:r w:rsidRPr="00012514">
              <w:rPr>
                <w:rFonts w:ascii="Times New Roman" w:hAnsi="Times New Roman" w:cs="Times New Roman"/>
                <w:color w:val="000000"/>
                <w:sz w:val="24"/>
                <w:szCs w:val="24"/>
              </w:rPr>
              <w:t>30.01%</w:t>
            </w:r>
          </w:p>
        </w:tc>
        <w:tc>
          <w:tcPr>
            <w:tcW w:w="2461" w:type="dxa"/>
            <w:tcBorders>
              <w:top w:val="nil"/>
              <w:left w:val="nil"/>
              <w:bottom w:val="nil"/>
              <w:right w:val="nil"/>
            </w:tcBorders>
            <w:shd w:val="clear" w:color="auto" w:fill="auto"/>
            <w:noWrap/>
            <w:vAlign w:val="bottom"/>
            <w:hideMark/>
          </w:tcPr>
          <w:p w14:paraId="16A051B1" w14:textId="5DE4A124" w:rsidR="00012514" w:rsidRPr="00012514" w:rsidRDefault="00012514" w:rsidP="00012514">
            <w:pPr>
              <w:spacing w:after="0" w:line="240" w:lineRule="auto"/>
              <w:jc w:val="center"/>
              <w:rPr>
                <w:rFonts w:ascii="Times New Roman" w:eastAsia="Times New Roman" w:hAnsi="Times New Roman" w:cs="Times New Roman"/>
                <w:color w:val="000000"/>
                <w:sz w:val="24"/>
                <w:szCs w:val="24"/>
              </w:rPr>
            </w:pPr>
            <w:r w:rsidRPr="00012514">
              <w:rPr>
                <w:rFonts w:ascii="Times New Roman" w:hAnsi="Times New Roman" w:cs="Times New Roman"/>
                <w:color w:val="000000"/>
                <w:sz w:val="24"/>
                <w:szCs w:val="24"/>
              </w:rPr>
              <w:t>37.13%</w:t>
            </w:r>
          </w:p>
        </w:tc>
        <w:tc>
          <w:tcPr>
            <w:tcW w:w="2039" w:type="dxa"/>
            <w:tcBorders>
              <w:top w:val="nil"/>
              <w:left w:val="nil"/>
              <w:bottom w:val="nil"/>
              <w:right w:val="nil"/>
            </w:tcBorders>
            <w:shd w:val="clear" w:color="auto" w:fill="auto"/>
            <w:noWrap/>
            <w:vAlign w:val="bottom"/>
            <w:hideMark/>
          </w:tcPr>
          <w:p w14:paraId="1F6AA5E1" w14:textId="47F99CD4" w:rsidR="00012514" w:rsidRPr="00012514" w:rsidRDefault="00012514" w:rsidP="00012514">
            <w:pPr>
              <w:spacing w:after="0" w:line="240" w:lineRule="auto"/>
              <w:jc w:val="center"/>
              <w:rPr>
                <w:rFonts w:ascii="Times New Roman" w:eastAsia="Times New Roman" w:hAnsi="Times New Roman" w:cs="Times New Roman"/>
                <w:color w:val="000000"/>
                <w:sz w:val="24"/>
                <w:szCs w:val="24"/>
              </w:rPr>
            </w:pPr>
            <w:r w:rsidRPr="00012514">
              <w:rPr>
                <w:rFonts w:ascii="Times New Roman" w:hAnsi="Times New Roman" w:cs="Times New Roman"/>
                <w:color w:val="000000"/>
                <w:sz w:val="24"/>
                <w:szCs w:val="24"/>
              </w:rPr>
              <w:t>44.87%</w:t>
            </w:r>
          </w:p>
        </w:tc>
        <w:tc>
          <w:tcPr>
            <w:tcW w:w="2070" w:type="dxa"/>
            <w:tcBorders>
              <w:top w:val="nil"/>
              <w:left w:val="nil"/>
              <w:bottom w:val="nil"/>
              <w:right w:val="nil"/>
            </w:tcBorders>
            <w:shd w:val="clear" w:color="auto" w:fill="auto"/>
            <w:noWrap/>
            <w:vAlign w:val="bottom"/>
            <w:hideMark/>
          </w:tcPr>
          <w:p w14:paraId="596A7384" w14:textId="48C7E7B0" w:rsidR="00012514" w:rsidRPr="00012514" w:rsidRDefault="00012514" w:rsidP="00012514">
            <w:pPr>
              <w:spacing w:after="0" w:line="240" w:lineRule="auto"/>
              <w:jc w:val="center"/>
              <w:rPr>
                <w:rFonts w:ascii="Times New Roman" w:eastAsia="Times New Roman" w:hAnsi="Times New Roman" w:cs="Times New Roman"/>
                <w:color w:val="000000"/>
                <w:sz w:val="24"/>
                <w:szCs w:val="24"/>
              </w:rPr>
            </w:pPr>
            <w:r w:rsidRPr="00012514">
              <w:rPr>
                <w:rFonts w:ascii="Times New Roman" w:hAnsi="Times New Roman" w:cs="Times New Roman"/>
                <w:color w:val="000000"/>
                <w:sz w:val="24"/>
                <w:szCs w:val="24"/>
              </w:rPr>
              <w:t>52.77%</w:t>
            </w:r>
          </w:p>
        </w:tc>
      </w:tr>
      <w:tr w:rsidR="00012514" w:rsidRPr="000F3F8F" w14:paraId="1CA9CA01" w14:textId="77777777" w:rsidTr="002101D4">
        <w:trPr>
          <w:trHeight w:val="280"/>
          <w:jc w:val="center"/>
        </w:trPr>
        <w:tc>
          <w:tcPr>
            <w:tcW w:w="4203" w:type="dxa"/>
            <w:tcBorders>
              <w:top w:val="nil"/>
              <w:left w:val="nil"/>
              <w:bottom w:val="nil"/>
              <w:right w:val="nil"/>
            </w:tcBorders>
            <w:shd w:val="clear" w:color="auto" w:fill="auto"/>
            <w:noWrap/>
            <w:vAlign w:val="bottom"/>
            <w:hideMark/>
          </w:tcPr>
          <w:p w14:paraId="67FF330D" w14:textId="77777777" w:rsidR="00012514" w:rsidRPr="000F3F8F" w:rsidRDefault="00012514" w:rsidP="00012514">
            <w:pPr>
              <w:spacing w:after="0" w:line="240" w:lineRule="auto"/>
              <w:rPr>
                <w:rFonts w:ascii="Times New Roman" w:eastAsia="Times New Roman" w:hAnsi="Times New Roman" w:cs="Times New Roman"/>
                <w:color w:val="000000"/>
              </w:rPr>
            </w:pPr>
            <w:r w:rsidRPr="00A446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3) 6</w:t>
            </w:r>
            <w:r w:rsidRPr="0066434B">
              <w:rPr>
                <w:rFonts w:ascii="Times New Roman" w:eastAsia="Times New Roman" w:hAnsi="Times New Roman" w:cs="Times New Roman"/>
                <w:color w:val="000000"/>
                <w:sz w:val="24"/>
                <w:szCs w:val="24"/>
              </w:rPr>
              <w:t xml:space="preserve">0% </w:t>
            </w:r>
            <w:r>
              <w:rPr>
                <w:rFonts w:ascii="Times New Roman" w:eastAsia="Times New Roman" w:hAnsi="Times New Roman" w:cs="Times New Roman"/>
                <w:color w:val="000000"/>
                <w:sz w:val="24"/>
                <w:szCs w:val="24"/>
              </w:rPr>
              <w:t>B</w:t>
            </w:r>
            <w:r w:rsidRPr="0066434B">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share</w:t>
            </w:r>
            <w:r w:rsidRPr="0066434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w:t>
            </w:r>
            <w:r w:rsidRPr="0066434B">
              <w:rPr>
                <w:rFonts w:ascii="Times New Roman" w:eastAsia="Times New Roman" w:hAnsi="Times New Roman" w:cs="Times New Roman"/>
                <w:color w:val="000000"/>
                <w:sz w:val="24"/>
                <w:szCs w:val="24"/>
              </w:rPr>
              <w:t xml:space="preserve">0% </w:t>
            </w:r>
            <w:r>
              <w:rPr>
                <w:rFonts w:ascii="Times New Roman" w:eastAsia="Times New Roman" w:hAnsi="Times New Roman" w:cs="Times New Roman"/>
                <w:color w:val="000000"/>
                <w:sz w:val="24"/>
                <w:szCs w:val="24"/>
              </w:rPr>
              <w:t>A</w:t>
            </w:r>
            <w:r w:rsidRPr="0066434B">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share</w:t>
            </w:r>
          </w:p>
        </w:tc>
        <w:tc>
          <w:tcPr>
            <w:tcW w:w="1917" w:type="dxa"/>
            <w:tcBorders>
              <w:top w:val="nil"/>
              <w:left w:val="nil"/>
              <w:bottom w:val="nil"/>
              <w:right w:val="nil"/>
            </w:tcBorders>
            <w:shd w:val="clear" w:color="auto" w:fill="auto"/>
            <w:noWrap/>
            <w:vAlign w:val="bottom"/>
            <w:hideMark/>
          </w:tcPr>
          <w:p w14:paraId="44566FBC" w14:textId="5E8AD606" w:rsidR="00012514" w:rsidRPr="00012514" w:rsidRDefault="00012514" w:rsidP="00012514">
            <w:pPr>
              <w:spacing w:after="0" w:line="240" w:lineRule="auto"/>
              <w:jc w:val="center"/>
              <w:rPr>
                <w:rFonts w:ascii="Times New Roman" w:eastAsia="Times New Roman" w:hAnsi="Times New Roman" w:cs="Times New Roman"/>
                <w:color w:val="000000"/>
                <w:sz w:val="24"/>
                <w:szCs w:val="24"/>
              </w:rPr>
            </w:pPr>
            <w:r w:rsidRPr="00012514">
              <w:rPr>
                <w:rFonts w:ascii="Times New Roman" w:hAnsi="Times New Roman" w:cs="Times New Roman"/>
                <w:color w:val="000000"/>
                <w:sz w:val="24"/>
                <w:szCs w:val="24"/>
              </w:rPr>
              <w:t>29.74%</w:t>
            </w:r>
          </w:p>
        </w:tc>
        <w:tc>
          <w:tcPr>
            <w:tcW w:w="2461" w:type="dxa"/>
            <w:tcBorders>
              <w:top w:val="nil"/>
              <w:left w:val="nil"/>
              <w:bottom w:val="nil"/>
              <w:right w:val="nil"/>
            </w:tcBorders>
            <w:shd w:val="clear" w:color="auto" w:fill="auto"/>
            <w:noWrap/>
            <w:vAlign w:val="bottom"/>
            <w:hideMark/>
          </w:tcPr>
          <w:p w14:paraId="43095C5C" w14:textId="60B71E87" w:rsidR="00012514" w:rsidRPr="00012514" w:rsidRDefault="00012514" w:rsidP="00012514">
            <w:pPr>
              <w:spacing w:after="0" w:line="240" w:lineRule="auto"/>
              <w:jc w:val="center"/>
              <w:rPr>
                <w:rFonts w:ascii="Times New Roman" w:eastAsia="Times New Roman" w:hAnsi="Times New Roman" w:cs="Times New Roman"/>
                <w:color w:val="000000"/>
                <w:sz w:val="24"/>
                <w:szCs w:val="24"/>
              </w:rPr>
            </w:pPr>
            <w:r w:rsidRPr="00012514">
              <w:rPr>
                <w:rFonts w:ascii="Times New Roman" w:hAnsi="Times New Roman" w:cs="Times New Roman"/>
                <w:color w:val="000000"/>
                <w:sz w:val="24"/>
                <w:szCs w:val="24"/>
              </w:rPr>
              <w:t>36.30%</w:t>
            </w:r>
          </w:p>
        </w:tc>
        <w:tc>
          <w:tcPr>
            <w:tcW w:w="2039" w:type="dxa"/>
            <w:tcBorders>
              <w:top w:val="nil"/>
              <w:left w:val="nil"/>
              <w:bottom w:val="nil"/>
              <w:right w:val="nil"/>
            </w:tcBorders>
            <w:shd w:val="clear" w:color="auto" w:fill="auto"/>
            <w:noWrap/>
            <w:vAlign w:val="bottom"/>
            <w:hideMark/>
          </w:tcPr>
          <w:p w14:paraId="5928FFD3" w14:textId="639010D4" w:rsidR="00012514" w:rsidRPr="00012514" w:rsidRDefault="00012514" w:rsidP="00012514">
            <w:pPr>
              <w:spacing w:after="0" w:line="240" w:lineRule="auto"/>
              <w:jc w:val="center"/>
              <w:rPr>
                <w:rFonts w:ascii="Times New Roman" w:eastAsia="Times New Roman" w:hAnsi="Times New Roman" w:cs="Times New Roman"/>
                <w:color w:val="000000"/>
                <w:sz w:val="24"/>
                <w:szCs w:val="24"/>
              </w:rPr>
            </w:pPr>
            <w:r w:rsidRPr="00012514">
              <w:rPr>
                <w:rFonts w:ascii="Times New Roman" w:hAnsi="Times New Roman" w:cs="Times New Roman"/>
                <w:color w:val="000000"/>
                <w:sz w:val="24"/>
                <w:szCs w:val="24"/>
              </w:rPr>
              <w:t>43.72%</w:t>
            </w:r>
          </w:p>
        </w:tc>
        <w:tc>
          <w:tcPr>
            <w:tcW w:w="2070" w:type="dxa"/>
            <w:tcBorders>
              <w:top w:val="nil"/>
              <w:left w:val="nil"/>
              <w:bottom w:val="nil"/>
              <w:right w:val="nil"/>
            </w:tcBorders>
            <w:shd w:val="clear" w:color="auto" w:fill="auto"/>
            <w:noWrap/>
            <w:vAlign w:val="bottom"/>
            <w:hideMark/>
          </w:tcPr>
          <w:p w14:paraId="14EB29A8" w14:textId="170A9C73" w:rsidR="00012514" w:rsidRPr="00012514" w:rsidRDefault="00012514" w:rsidP="00012514">
            <w:pPr>
              <w:spacing w:after="0" w:line="240" w:lineRule="auto"/>
              <w:jc w:val="center"/>
              <w:rPr>
                <w:rFonts w:ascii="Times New Roman" w:eastAsia="Times New Roman" w:hAnsi="Times New Roman" w:cs="Times New Roman"/>
                <w:color w:val="000000"/>
                <w:sz w:val="24"/>
                <w:szCs w:val="24"/>
              </w:rPr>
            </w:pPr>
            <w:r w:rsidRPr="00012514">
              <w:rPr>
                <w:rFonts w:ascii="Times New Roman" w:hAnsi="Times New Roman" w:cs="Times New Roman"/>
                <w:color w:val="000000"/>
                <w:sz w:val="24"/>
                <w:szCs w:val="24"/>
              </w:rPr>
              <w:t>51.48%</w:t>
            </w:r>
          </w:p>
        </w:tc>
      </w:tr>
      <w:tr w:rsidR="000F7C00" w:rsidRPr="000F3F8F" w14:paraId="7647FB35" w14:textId="77777777" w:rsidTr="00211FA3">
        <w:trPr>
          <w:trHeight w:val="120"/>
          <w:jc w:val="center"/>
        </w:trPr>
        <w:tc>
          <w:tcPr>
            <w:tcW w:w="4203" w:type="dxa"/>
            <w:tcBorders>
              <w:top w:val="nil"/>
              <w:left w:val="nil"/>
              <w:bottom w:val="single" w:sz="4" w:space="0" w:color="auto"/>
              <w:right w:val="nil"/>
            </w:tcBorders>
            <w:shd w:val="clear" w:color="auto" w:fill="auto"/>
            <w:noWrap/>
            <w:vAlign w:val="bottom"/>
            <w:hideMark/>
          </w:tcPr>
          <w:p w14:paraId="38B75624" w14:textId="77777777" w:rsidR="000F7C00" w:rsidRPr="000F3F8F" w:rsidRDefault="000F7C00" w:rsidP="00211FA3">
            <w:pPr>
              <w:spacing w:after="0" w:line="240" w:lineRule="auto"/>
              <w:jc w:val="right"/>
              <w:rPr>
                <w:rFonts w:ascii="Times New Roman" w:eastAsia="Times New Roman" w:hAnsi="Times New Roman" w:cs="Times New Roman"/>
                <w:color w:val="000000"/>
              </w:rPr>
            </w:pPr>
            <w:r w:rsidRPr="000F3F8F">
              <w:rPr>
                <w:rFonts w:ascii="Times New Roman" w:eastAsia="Times New Roman" w:hAnsi="Times New Roman" w:cs="Times New Roman"/>
                <w:color w:val="000000"/>
              </w:rPr>
              <w:t> </w:t>
            </w:r>
          </w:p>
        </w:tc>
        <w:tc>
          <w:tcPr>
            <w:tcW w:w="1917" w:type="dxa"/>
            <w:tcBorders>
              <w:top w:val="nil"/>
              <w:left w:val="nil"/>
              <w:bottom w:val="single" w:sz="4" w:space="0" w:color="auto"/>
              <w:right w:val="nil"/>
            </w:tcBorders>
            <w:shd w:val="clear" w:color="auto" w:fill="auto"/>
            <w:noWrap/>
            <w:vAlign w:val="bottom"/>
            <w:hideMark/>
          </w:tcPr>
          <w:p w14:paraId="6C706B62" w14:textId="77777777" w:rsidR="000F7C00" w:rsidRPr="000F3F8F" w:rsidRDefault="000F7C00" w:rsidP="00211FA3">
            <w:pPr>
              <w:spacing w:after="0" w:line="240" w:lineRule="auto"/>
              <w:rPr>
                <w:rFonts w:ascii="Times New Roman" w:eastAsia="Times New Roman" w:hAnsi="Times New Roman" w:cs="Times New Roman"/>
                <w:color w:val="000000"/>
              </w:rPr>
            </w:pPr>
            <w:r w:rsidRPr="000F3F8F">
              <w:rPr>
                <w:rFonts w:ascii="Times New Roman" w:eastAsia="Times New Roman" w:hAnsi="Times New Roman" w:cs="Times New Roman"/>
                <w:color w:val="000000"/>
              </w:rPr>
              <w:t> </w:t>
            </w:r>
          </w:p>
        </w:tc>
        <w:tc>
          <w:tcPr>
            <w:tcW w:w="2461" w:type="dxa"/>
            <w:tcBorders>
              <w:top w:val="nil"/>
              <w:left w:val="nil"/>
              <w:bottom w:val="single" w:sz="4" w:space="0" w:color="auto"/>
              <w:right w:val="nil"/>
            </w:tcBorders>
            <w:shd w:val="clear" w:color="auto" w:fill="auto"/>
            <w:noWrap/>
            <w:vAlign w:val="bottom"/>
            <w:hideMark/>
          </w:tcPr>
          <w:p w14:paraId="2FD4734E" w14:textId="77777777" w:rsidR="000F7C00" w:rsidRPr="000F3F8F" w:rsidRDefault="000F7C00" w:rsidP="00211FA3">
            <w:pPr>
              <w:spacing w:after="0" w:line="240" w:lineRule="auto"/>
              <w:rPr>
                <w:rFonts w:ascii="Times New Roman" w:eastAsia="Times New Roman" w:hAnsi="Times New Roman" w:cs="Times New Roman"/>
                <w:color w:val="000000"/>
              </w:rPr>
            </w:pPr>
            <w:r w:rsidRPr="000F3F8F">
              <w:rPr>
                <w:rFonts w:ascii="Times New Roman" w:eastAsia="Times New Roman" w:hAnsi="Times New Roman" w:cs="Times New Roman"/>
                <w:color w:val="000000"/>
              </w:rPr>
              <w:t> </w:t>
            </w:r>
          </w:p>
        </w:tc>
        <w:tc>
          <w:tcPr>
            <w:tcW w:w="2039" w:type="dxa"/>
            <w:tcBorders>
              <w:top w:val="nil"/>
              <w:left w:val="nil"/>
              <w:bottom w:val="single" w:sz="4" w:space="0" w:color="auto"/>
              <w:right w:val="nil"/>
            </w:tcBorders>
            <w:shd w:val="clear" w:color="auto" w:fill="auto"/>
            <w:noWrap/>
            <w:vAlign w:val="bottom"/>
            <w:hideMark/>
          </w:tcPr>
          <w:p w14:paraId="045855F9" w14:textId="77777777" w:rsidR="000F7C00" w:rsidRPr="000F3F8F" w:rsidRDefault="000F7C00" w:rsidP="00211FA3">
            <w:pPr>
              <w:spacing w:after="0" w:line="240" w:lineRule="auto"/>
              <w:rPr>
                <w:rFonts w:ascii="Times New Roman" w:eastAsia="Times New Roman" w:hAnsi="Times New Roman" w:cs="Times New Roman"/>
                <w:color w:val="000000"/>
              </w:rPr>
            </w:pPr>
            <w:r w:rsidRPr="000F3F8F">
              <w:rPr>
                <w:rFonts w:ascii="Times New Roman" w:eastAsia="Times New Roman" w:hAnsi="Times New Roman" w:cs="Times New Roman"/>
                <w:color w:val="000000"/>
              </w:rPr>
              <w:t> </w:t>
            </w:r>
          </w:p>
        </w:tc>
        <w:tc>
          <w:tcPr>
            <w:tcW w:w="2070" w:type="dxa"/>
            <w:tcBorders>
              <w:top w:val="nil"/>
              <w:left w:val="nil"/>
              <w:bottom w:val="single" w:sz="4" w:space="0" w:color="auto"/>
              <w:right w:val="nil"/>
            </w:tcBorders>
            <w:shd w:val="clear" w:color="auto" w:fill="auto"/>
            <w:noWrap/>
            <w:vAlign w:val="bottom"/>
            <w:hideMark/>
          </w:tcPr>
          <w:p w14:paraId="4BE6F4BE" w14:textId="77777777" w:rsidR="000F7C00" w:rsidRPr="000F3F8F" w:rsidRDefault="000F7C00" w:rsidP="00211FA3">
            <w:pPr>
              <w:spacing w:after="0" w:line="240" w:lineRule="auto"/>
              <w:rPr>
                <w:rFonts w:ascii="Times New Roman" w:eastAsia="Times New Roman" w:hAnsi="Times New Roman" w:cs="Times New Roman"/>
                <w:color w:val="000000"/>
              </w:rPr>
            </w:pPr>
            <w:r w:rsidRPr="000F3F8F">
              <w:rPr>
                <w:rFonts w:ascii="Times New Roman" w:eastAsia="Times New Roman" w:hAnsi="Times New Roman" w:cs="Times New Roman"/>
                <w:color w:val="000000"/>
              </w:rPr>
              <w:t> </w:t>
            </w:r>
          </w:p>
        </w:tc>
      </w:tr>
      <w:tr w:rsidR="000F7C00" w:rsidRPr="000F3F8F" w14:paraId="71E2E1AD" w14:textId="77777777" w:rsidTr="00211FA3">
        <w:trPr>
          <w:trHeight w:val="570"/>
          <w:jc w:val="center"/>
        </w:trPr>
        <w:tc>
          <w:tcPr>
            <w:tcW w:w="12690" w:type="dxa"/>
            <w:gridSpan w:val="5"/>
            <w:tcBorders>
              <w:top w:val="single" w:sz="4" w:space="0" w:color="auto"/>
              <w:left w:val="nil"/>
              <w:bottom w:val="nil"/>
              <w:right w:val="nil"/>
            </w:tcBorders>
            <w:shd w:val="clear" w:color="auto" w:fill="auto"/>
            <w:hideMark/>
          </w:tcPr>
          <w:p w14:paraId="427D0675" w14:textId="77777777" w:rsidR="000F7C00" w:rsidRDefault="000F7C00" w:rsidP="00211FA3">
            <w:pPr>
              <w:spacing w:before="120" w:after="0" w:line="240" w:lineRule="auto"/>
              <w:rPr>
                <w:rFonts w:ascii="Times New Roman" w:eastAsia="Times New Roman" w:hAnsi="Times New Roman" w:cs="Times New Roman"/>
                <w:color w:val="000000"/>
                <w:sz w:val="20"/>
                <w:szCs w:val="20"/>
              </w:rPr>
            </w:pPr>
            <w:r w:rsidRPr="001A4B46">
              <w:rPr>
                <w:rFonts w:ascii="Times New Roman" w:eastAsia="Times New Roman" w:hAnsi="Times New Roman" w:cs="Times New Roman"/>
                <w:i/>
                <w:color w:val="000000"/>
                <w:sz w:val="20"/>
                <w:szCs w:val="20"/>
              </w:rPr>
              <w:t>Note</w:t>
            </w:r>
            <w:r w:rsidRPr="00BD761B">
              <w:rPr>
                <w:rFonts w:ascii="Times New Roman" w:eastAsia="Times New Roman" w:hAnsi="Times New Roman" w:cs="Times New Roman"/>
                <w:smallCaps/>
                <w:color w:val="000000"/>
                <w:sz w:val="20"/>
                <w:szCs w:val="20"/>
              </w:rPr>
              <w:t>:</w:t>
            </w:r>
            <w:r>
              <w:rPr>
                <w:rFonts w:ascii="Times New Roman" w:eastAsia="Times New Roman" w:hAnsi="Times New Roman" w:cs="Times New Roman"/>
                <w:smallCaps/>
                <w:color w:val="000000"/>
                <w:sz w:val="20"/>
                <w:szCs w:val="20"/>
              </w:rPr>
              <w:t xml:space="preserve"> </w:t>
            </w:r>
            <w:r>
              <w:rPr>
                <w:rFonts w:ascii="Times New Roman" w:eastAsia="Times New Roman" w:hAnsi="Times New Roman" w:cs="Times New Roman"/>
                <w:color w:val="000000"/>
                <w:sz w:val="20"/>
                <w:szCs w:val="20"/>
              </w:rPr>
              <w:t>“FPL” is the federal poverty threshold as calculated by the Census Bureau for different family structures. Unlike Table 5, p</w:t>
            </w:r>
            <w:r w:rsidRPr="001604E9">
              <w:rPr>
                <w:rFonts w:ascii="Times New Roman" w:eastAsia="Times New Roman" w:hAnsi="Times New Roman" w:cs="Times New Roman"/>
                <w:color w:val="000000"/>
                <w:sz w:val="20"/>
                <w:szCs w:val="20"/>
              </w:rPr>
              <w:t xml:space="preserve">overty rates </w:t>
            </w:r>
            <w:r>
              <w:rPr>
                <w:rFonts w:ascii="Times New Roman" w:eastAsia="Times New Roman" w:hAnsi="Times New Roman" w:cs="Times New Roman"/>
                <w:color w:val="000000"/>
                <w:sz w:val="20"/>
                <w:szCs w:val="20"/>
              </w:rPr>
              <w:t xml:space="preserve">here </w:t>
            </w:r>
            <w:proofErr w:type="gramStart"/>
            <w:r w:rsidRPr="001604E9">
              <w:rPr>
                <w:rFonts w:ascii="Times New Roman" w:eastAsia="Times New Roman" w:hAnsi="Times New Roman" w:cs="Times New Roman"/>
                <w:color w:val="000000"/>
                <w:sz w:val="20"/>
                <w:szCs w:val="20"/>
              </w:rPr>
              <w:t>are calculated</w:t>
            </w:r>
            <w:proofErr w:type="gramEnd"/>
            <w:r w:rsidRPr="001604E9">
              <w:rPr>
                <w:rFonts w:ascii="Times New Roman" w:eastAsia="Times New Roman" w:hAnsi="Times New Roman" w:cs="Times New Roman"/>
                <w:color w:val="000000"/>
                <w:sz w:val="20"/>
                <w:szCs w:val="20"/>
              </w:rPr>
              <w:t xml:space="preserve"> relative to total wage, salary, and positive business income</w:t>
            </w:r>
            <w:r>
              <w:rPr>
                <w:rFonts w:ascii="Times New Roman" w:eastAsia="Times New Roman" w:hAnsi="Times New Roman" w:cs="Times New Roman"/>
                <w:color w:val="000000"/>
                <w:sz w:val="20"/>
                <w:szCs w:val="20"/>
              </w:rPr>
              <w:t>—but not other cash transfers or unearned income—</w:t>
            </w:r>
            <w:r w:rsidRPr="001604E9">
              <w:rPr>
                <w:rFonts w:ascii="Times New Roman" w:eastAsia="Times New Roman" w:hAnsi="Times New Roman" w:cs="Times New Roman"/>
                <w:color w:val="000000"/>
                <w:sz w:val="20"/>
                <w:szCs w:val="20"/>
              </w:rPr>
              <w:t>in</w:t>
            </w:r>
            <w:r>
              <w:rPr>
                <w:rFonts w:ascii="Times New Roman" w:eastAsia="Times New Roman" w:hAnsi="Times New Roman" w:cs="Times New Roman"/>
                <w:color w:val="000000"/>
                <w:sz w:val="20"/>
                <w:szCs w:val="20"/>
              </w:rPr>
              <w:t xml:space="preserve"> </w:t>
            </w:r>
            <w:r w:rsidRPr="001604E9">
              <w:rPr>
                <w:rFonts w:ascii="Times New Roman" w:eastAsia="Times New Roman" w:hAnsi="Times New Roman" w:cs="Times New Roman"/>
                <w:color w:val="000000"/>
                <w:sz w:val="20"/>
                <w:szCs w:val="20"/>
              </w:rPr>
              <w:t xml:space="preserve">each household. </w:t>
            </w:r>
            <w:r w:rsidRPr="000E5B76">
              <w:rPr>
                <w:rFonts w:ascii="Times New Roman" w:eastAsia="Times New Roman" w:hAnsi="Times New Roman" w:cs="Times New Roman"/>
                <w:color w:val="000000"/>
                <w:sz w:val="20"/>
                <w:szCs w:val="20"/>
              </w:rPr>
              <w:t xml:space="preserve">Changes in poverty rates reflect changes to each household member's </w:t>
            </w:r>
            <w:r w:rsidRPr="00467086">
              <w:rPr>
                <w:rFonts w:ascii="Times New Roman" w:eastAsia="Times New Roman" w:hAnsi="Times New Roman" w:cs="Times New Roman"/>
                <w:color w:val="000000"/>
                <w:sz w:val="20"/>
                <w:szCs w:val="20"/>
              </w:rPr>
              <w:t>earnings</w:t>
            </w:r>
            <w:r w:rsidRPr="000E5B76">
              <w:rPr>
                <w:rFonts w:ascii="Times New Roman" w:eastAsia="Times New Roman" w:hAnsi="Times New Roman" w:cs="Times New Roman"/>
                <w:color w:val="000000"/>
                <w:sz w:val="20"/>
                <w:szCs w:val="20"/>
              </w:rPr>
              <w:t xml:space="preserve"> through treatment or general equilibrium effects.</w:t>
            </w:r>
          </w:p>
          <w:p w14:paraId="516D870D" w14:textId="77777777" w:rsidR="000F7C00" w:rsidRPr="000F3F8F" w:rsidRDefault="000F7C00" w:rsidP="00211FA3">
            <w:pPr>
              <w:spacing w:before="120" w:after="0" w:line="240" w:lineRule="auto"/>
              <w:rPr>
                <w:rFonts w:ascii="Times New Roman" w:eastAsia="Times New Roman" w:hAnsi="Times New Roman" w:cs="Times New Roman"/>
                <w:color w:val="000000"/>
                <w:sz w:val="20"/>
                <w:szCs w:val="20"/>
              </w:rPr>
            </w:pPr>
            <w:r w:rsidRPr="001A4B46">
              <w:rPr>
                <w:rFonts w:ascii="Times New Roman" w:eastAsia="Times New Roman" w:hAnsi="Times New Roman" w:cs="Times New Roman"/>
                <w:i/>
                <w:color w:val="000000"/>
                <w:sz w:val="20"/>
                <w:szCs w:val="20"/>
              </w:rPr>
              <w:t>Source</w:t>
            </w:r>
            <w:r w:rsidRPr="00BD761B">
              <w:rPr>
                <w:rFonts w:ascii="Times New Roman" w:eastAsia="Times New Roman" w:hAnsi="Times New Roman" w:cs="Times New Roman"/>
                <w:color w:val="000000"/>
                <w:sz w:val="20"/>
                <w:szCs w:val="20"/>
              </w:rPr>
              <w:t>: Authors’ calculations of</w:t>
            </w:r>
            <w:r>
              <w:rPr>
                <w:rFonts w:ascii="Times New Roman" w:eastAsia="Times New Roman" w:hAnsi="Times New Roman" w:cs="Times New Roman"/>
                <w:color w:val="000000"/>
                <w:sz w:val="20"/>
                <w:szCs w:val="20"/>
              </w:rPr>
              <w:t xml:space="preserve"> March Current Population Survey 1980 and 2019 (Flood et al., 2019).</w:t>
            </w:r>
          </w:p>
        </w:tc>
      </w:tr>
    </w:tbl>
    <w:p w14:paraId="27F88F87" w14:textId="77777777" w:rsidR="000F7C00" w:rsidRDefault="000F7C00" w:rsidP="000F7C00">
      <w:pPr>
        <w:spacing w:after="0"/>
        <w:rPr>
          <w:rFonts w:ascii="Times New Roman" w:hAnsi="Times New Roman" w:cs="Times New Roman"/>
          <w:b/>
          <w:bCs/>
          <w:sz w:val="24"/>
          <w:szCs w:val="24"/>
        </w:rPr>
      </w:pPr>
    </w:p>
    <w:p w14:paraId="05A6F441" w14:textId="77777777" w:rsidR="000F7C00" w:rsidRDefault="000F7C00" w:rsidP="000F7C00">
      <w:pPr>
        <w:spacing w:after="0"/>
        <w:rPr>
          <w:rFonts w:ascii="Times New Roman" w:hAnsi="Times New Roman" w:cs="Times New Roman"/>
          <w:b/>
          <w:bCs/>
          <w:sz w:val="24"/>
          <w:szCs w:val="24"/>
        </w:rPr>
      </w:pPr>
    </w:p>
    <w:p w14:paraId="70F51CA7" w14:textId="77777777" w:rsidR="000F7C00" w:rsidRDefault="000F7C00" w:rsidP="000F7C00">
      <w:pPr>
        <w:spacing w:after="0"/>
        <w:rPr>
          <w:rFonts w:ascii="Times New Roman" w:hAnsi="Times New Roman" w:cs="Times New Roman"/>
          <w:b/>
          <w:bCs/>
          <w:sz w:val="24"/>
          <w:szCs w:val="24"/>
        </w:rPr>
      </w:pPr>
    </w:p>
    <w:p w14:paraId="065937F8" w14:textId="77777777" w:rsidR="000F7C00" w:rsidRDefault="000F7C00" w:rsidP="000F7C00">
      <w:pPr>
        <w:spacing w:after="0"/>
        <w:rPr>
          <w:rFonts w:ascii="Times New Roman" w:hAnsi="Times New Roman" w:cs="Times New Roman"/>
          <w:b/>
          <w:bCs/>
          <w:sz w:val="24"/>
          <w:szCs w:val="24"/>
        </w:rPr>
      </w:pPr>
    </w:p>
    <w:p w14:paraId="30445823" w14:textId="77777777" w:rsidR="004D0F0A" w:rsidRDefault="004D0F0A" w:rsidP="000F7C00">
      <w:pPr>
        <w:spacing w:after="0"/>
        <w:rPr>
          <w:rFonts w:ascii="Times New Roman" w:hAnsi="Times New Roman" w:cs="Times New Roman"/>
          <w:b/>
          <w:bCs/>
          <w:sz w:val="24"/>
          <w:szCs w:val="24"/>
        </w:rPr>
        <w:sectPr w:rsidR="004D0F0A" w:rsidSect="00BF5375">
          <w:pgSz w:w="15840" w:h="12240" w:orient="landscape"/>
          <w:pgMar w:top="1440" w:right="1440" w:bottom="1440" w:left="1440" w:header="720" w:footer="720" w:gutter="0"/>
          <w:cols w:space="720"/>
          <w:docGrid w:linePitch="360"/>
        </w:sectPr>
      </w:pPr>
    </w:p>
    <w:p w14:paraId="27C4DDF7" w14:textId="529EC6FA" w:rsidR="000F7C00" w:rsidRDefault="000F7C00" w:rsidP="000F7C00">
      <w:pPr>
        <w:spacing w:after="0"/>
        <w:rPr>
          <w:rFonts w:ascii="Times New Roman" w:hAnsi="Times New Roman" w:cs="Times New Roman"/>
          <w:b/>
          <w:bCs/>
          <w:sz w:val="24"/>
          <w:szCs w:val="24"/>
        </w:rPr>
      </w:pPr>
    </w:p>
    <w:p w14:paraId="46842166" w14:textId="77777777" w:rsidR="000F7C00" w:rsidRDefault="000F7C00" w:rsidP="000F7C00">
      <w:pPr>
        <w:spacing w:after="0"/>
        <w:rPr>
          <w:rFonts w:ascii="Times New Roman" w:hAnsi="Times New Roman" w:cs="Times New Roman"/>
          <w:b/>
          <w:bCs/>
          <w:sz w:val="24"/>
          <w:szCs w:val="24"/>
        </w:rPr>
      </w:pPr>
    </w:p>
    <w:p w14:paraId="560229A2" w14:textId="77777777" w:rsidR="000F7C00" w:rsidRDefault="000F7C00" w:rsidP="000F7C00">
      <w:pPr>
        <w:spacing w:after="0"/>
        <w:rPr>
          <w:rFonts w:ascii="Times New Roman" w:hAnsi="Times New Roman" w:cs="Times New Roman"/>
          <w:b/>
          <w:bCs/>
          <w:sz w:val="24"/>
          <w:szCs w:val="24"/>
        </w:rPr>
      </w:pPr>
    </w:p>
    <w:p w14:paraId="2C04150D" w14:textId="77777777" w:rsidR="000F7C00" w:rsidRDefault="000F7C00" w:rsidP="000F7C00">
      <w:pPr>
        <w:spacing w:after="0"/>
        <w:rPr>
          <w:rFonts w:ascii="Times New Roman" w:hAnsi="Times New Roman" w:cs="Times New Roman"/>
          <w:b/>
          <w:bCs/>
          <w:sz w:val="24"/>
          <w:szCs w:val="24"/>
        </w:rPr>
      </w:pPr>
    </w:p>
    <w:p w14:paraId="33A86E76" w14:textId="77777777" w:rsidR="000F7C00" w:rsidRDefault="000F7C00" w:rsidP="000F7C00">
      <w:pPr>
        <w:spacing w:after="0"/>
        <w:rPr>
          <w:rFonts w:ascii="Times New Roman" w:hAnsi="Times New Roman" w:cs="Times New Roman"/>
          <w:b/>
          <w:bCs/>
          <w:sz w:val="24"/>
          <w:szCs w:val="24"/>
        </w:rPr>
      </w:pPr>
    </w:p>
    <w:p w14:paraId="5FA27D6E" w14:textId="77777777" w:rsidR="000F7C00" w:rsidRDefault="000F7C00" w:rsidP="000F7C00">
      <w:pPr>
        <w:spacing w:after="0"/>
        <w:rPr>
          <w:rFonts w:ascii="Times New Roman" w:hAnsi="Times New Roman" w:cs="Times New Roman"/>
          <w:b/>
          <w:bCs/>
          <w:sz w:val="24"/>
          <w:szCs w:val="24"/>
        </w:rPr>
      </w:pPr>
      <w:r>
        <w:rPr>
          <w:rFonts w:ascii="Times New Roman" w:hAnsi="Times New Roman" w:cs="Times New Roman"/>
          <w:b/>
          <w:bCs/>
          <w:sz w:val="24"/>
          <w:szCs w:val="24"/>
        </w:rPr>
        <w:t>Appendix B: Figures plotting FTFY earnings distributions</w:t>
      </w:r>
    </w:p>
    <w:p w14:paraId="77B2D99F" w14:textId="77777777" w:rsidR="000F7C00" w:rsidRDefault="000F7C00" w:rsidP="000F7C00">
      <w:pPr>
        <w:spacing w:after="0"/>
        <w:rPr>
          <w:rFonts w:ascii="Times New Roman" w:hAnsi="Times New Roman" w:cs="Times New Roman"/>
          <w:b/>
          <w:bCs/>
          <w:sz w:val="24"/>
          <w:szCs w:val="24"/>
        </w:rPr>
      </w:pPr>
    </w:p>
    <w:p w14:paraId="2353A1D9" w14:textId="77777777" w:rsidR="000F7C00" w:rsidRPr="00CA0699" w:rsidRDefault="000F7C00" w:rsidP="000F7C00">
      <w:pPr>
        <w:spacing w:after="0"/>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30B0BE59" wp14:editId="07831761">
            <wp:extent cx="4700016" cy="27432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s_1979_2018_all_bysex_topcodefix.png"/>
                    <pic:cNvPicPr/>
                  </pic:nvPicPr>
                  <pic:blipFill>
                    <a:blip r:embed="rId16">
                      <a:extLst>
                        <a:ext uri="{28A0092B-C50C-407E-A947-70E740481C1C}">
                          <a14:useLocalDpi xmlns:a14="http://schemas.microsoft.com/office/drawing/2010/main" val="0"/>
                        </a:ext>
                      </a:extLst>
                    </a:blip>
                    <a:stretch>
                      <a:fillRect/>
                    </a:stretch>
                  </pic:blipFill>
                  <pic:spPr>
                    <a:xfrm>
                      <a:off x="0" y="0"/>
                      <a:ext cx="4700016" cy="2743200"/>
                    </a:xfrm>
                    <a:prstGeom prst="rect">
                      <a:avLst/>
                    </a:prstGeom>
                  </pic:spPr>
                </pic:pic>
              </a:graphicData>
            </a:graphic>
          </wp:inline>
        </w:drawing>
      </w:r>
    </w:p>
    <w:p w14:paraId="5A74C9B0" w14:textId="77777777" w:rsidR="000F7C00" w:rsidRDefault="000F7C00" w:rsidP="000F7C00">
      <w:pPr>
        <w:jc w:val="center"/>
        <w:rPr>
          <w:rFonts w:ascii="Times New Roman" w:hAnsi="Times New Roman" w:cs="Times New Roman"/>
        </w:rPr>
      </w:pPr>
      <w:r>
        <w:rPr>
          <w:rFonts w:ascii="Times New Roman" w:hAnsi="Times New Roman" w:cs="Times New Roman"/>
          <w:noProof/>
        </w:rPr>
        <w:drawing>
          <wp:inline distT="0" distB="0" distL="0" distR="0" wp14:anchorId="4B249CCF" wp14:editId="56A0905B">
            <wp:extent cx="4700016" cy="2743200"/>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s_byeduc_1979_2018.png"/>
                    <pic:cNvPicPr/>
                  </pic:nvPicPr>
                  <pic:blipFill>
                    <a:blip r:embed="rId17">
                      <a:extLst>
                        <a:ext uri="{28A0092B-C50C-407E-A947-70E740481C1C}">
                          <a14:useLocalDpi xmlns:a14="http://schemas.microsoft.com/office/drawing/2010/main" val="0"/>
                        </a:ext>
                      </a:extLst>
                    </a:blip>
                    <a:stretch>
                      <a:fillRect/>
                    </a:stretch>
                  </pic:blipFill>
                  <pic:spPr>
                    <a:xfrm>
                      <a:off x="0" y="0"/>
                      <a:ext cx="4700016" cy="2743200"/>
                    </a:xfrm>
                    <a:prstGeom prst="rect">
                      <a:avLst/>
                    </a:prstGeom>
                  </pic:spPr>
                </pic:pic>
              </a:graphicData>
            </a:graphic>
          </wp:inline>
        </w:drawing>
      </w:r>
    </w:p>
    <w:p w14:paraId="4D6A4632" w14:textId="77777777" w:rsidR="000F7C00" w:rsidRDefault="000F7C00" w:rsidP="000F7C00">
      <w:pPr>
        <w:jc w:val="center"/>
        <w:rPr>
          <w:rFonts w:ascii="Times New Roman" w:hAnsi="Times New Roman" w:cs="Times New Roman"/>
        </w:rPr>
        <w:sectPr w:rsidR="000F7C00" w:rsidSect="004D0F0A">
          <w:pgSz w:w="12240" w:h="15840"/>
          <w:pgMar w:top="1440" w:right="1440" w:bottom="1440" w:left="1440" w:header="720" w:footer="720" w:gutter="0"/>
          <w:cols w:space="720"/>
          <w:docGrid w:linePitch="360"/>
        </w:sectPr>
      </w:pPr>
    </w:p>
    <w:p w14:paraId="0113BD2A" w14:textId="77777777" w:rsidR="000F7C00" w:rsidRDefault="000F7C00" w:rsidP="000F7C00">
      <w:pPr>
        <w:jc w:val="center"/>
        <w:rPr>
          <w:rFonts w:ascii="Times New Roman" w:hAnsi="Times New Roman" w:cs="Times New Roman"/>
        </w:rPr>
      </w:pPr>
    </w:p>
    <w:p w14:paraId="6D4CB54B" w14:textId="77777777" w:rsidR="000F7C00" w:rsidRDefault="000F7C00" w:rsidP="000F7C00">
      <w:pPr>
        <w:rPr>
          <w:rFonts w:ascii="Times New Roman" w:hAnsi="Times New Roman" w:cs="Times New Roman"/>
          <w:b/>
          <w:bCs/>
          <w:sz w:val="24"/>
          <w:szCs w:val="24"/>
        </w:rPr>
      </w:pPr>
      <w:r>
        <w:rPr>
          <w:rFonts w:ascii="Times New Roman" w:hAnsi="Times New Roman" w:cs="Times New Roman"/>
          <w:b/>
          <w:bCs/>
          <w:sz w:val="24"/>
          <w:szCs w:val="24"/>
        </w:rPr>
        <w:t xml:space="preserve">Appendix C: Estimation of Wage </w:t>
      </w:r>
      <w:proofErr w:type="spellStart"/>
      <w:r>
        <w:rPr>
          <w:rFonts w:ascii="Times New Roman" w:hAnsi="Times New Roman" w:cs="Times New Roman"/>
          <w:b/>
          <w:bCs/>
          <w:sz w:val="24"/>
          <w:szCs w:val="24"/>
        </w:rPr>
        <w:t>Premia</w:t>
      </w:r>
      <w:proofErr w:type="spellEnd"/>
      <w:r>
        <w:rPr>
          <w:rFonts w:ascii="Times New Roman" w:hAnsi="Times New Roman" w:cs="Times New Roman"/>
          <w:b/>
          <w:bCs/>
          <w:sz w:val="24"/>
          <w:szCs w:val="24"/>
        </w:rPr>
        <w:t xml:space="preserve"> and CES Substitution Elasticity Estimates</w:t>
      </w:r>
    </w:p>
    <w:p w14:paraId="32D3F190" w14:textId="77777777" w:rsidR="000F7C00" w:rsidRDefault="000F7C00" w:rsidP="000F7C00">
      <w:pPr>
        <w:rPr>
          <w:rFonts w:ascii="Times New Roman" w:hAnsi="Times New Roman" w:cs="Times New Roman"/>
          <w:b/>
          <w:bCs/>
          <w:sz w:val="24"/>
          <w:szCs w:val="24"/>
        </w:rPr>
      </w:pPr>
      <w:r>
        <w:rPr>
          <w:rFonts w:ascii="Times New Roman" w:hAnsi="Times New Roman" w:cs="Times New Roman"/>
          <w:b/>
          <w:bCs/>
          <w:sz w:val="24"/>
          <w:szCs w:val="24"/>
        </w:rPr>
        <w:t xml:space="preserve"> C.1: Wage </w:t>
      </w:r>
      <w:proofErr w:type="spellStart"/>
      <w:r>
        <w:rPr>
          <w:rFonts w:ascii="Times New Roman" w:hAnsi="Times New Roman" w:cs="Times New Roman"/>
          <w:b/>
          <w:bCs/>
          <w:sz w:val="24"/>
          <w:szCs w:val="24"/>
        </w:rPr>
        <w:t>Premia</w:t>
      </w:r>
      <w:proofErr w:type="spellEnd"/>
    </w:p>
    <w:p w14:paraId="07E6F550" w14:textId="77777777" w:rsidR="000F7C00" w:rsidRPr="00F1213B" w:rsidRDefault="000F7C00" w:rsidP="000F7C00">
      <w:pPr>
        <w:autoSpaceDE w:val="0"/>
        <w:autoSpaceDN w:val="0"/>
        <w:adjustRightInd w:val="0"/>
        <w:spacing w:after="0" w:line="240" w:lineRule="auto"/>
        <w:rPr>
          <w:rFonts w:ascii="Times-Bold" w:hAnsi="Times-Bold" w:cs="Times-Bold"/>
          <w:b/>
          <w:bCs/>
          <w:color w:val="231F20"/>
          <w:sz w:val="24"/>
          <w:szCs w:val="24"/>
        </w:rPr>
      </w:pPr>
      <w:r w:rsidRPr="00F1213B">
        <w:rPr>
          <w:rFonts w:ascii="Times-Bold" w:hAnsi="Times-Bold" w:cs="Times-Bold"/>
          <w:b/>
          <w:bCs/>
          <w:color w:val="231F20"/>
          <w:sz w:val="24"/>
          <w:szCs w:val="24"/>
        </w:rPr>
        <w:t>Construction of Relative Wage Series</w:t>
      </w:r>
    </w:p>
    <w:p w14:paraId="425DA2ED" w14:textId="77777777" w:rsidR="000F7C00" w:rsidRPr="00F1213B" w:rsidRDefault="000F7C00" w:rsidP="000F7C00">
      <w:pPr>
        <w:autoSpaceDE w:val="0"/>
        <w:autoSpaceDN w:val="0"/>
        <w:adjustRightInd w:val="0"/>
        <w:spacing w:after="0" w:line="240" w:lineRule="auto"/>
        <w:rPr>
          <w:rFonts w:ascii="Times-Roman" w:hAnsi="Times-Roman" w:cs="Times-Roman"/>
          <w:color w:val="231F20"/>
          <w:sz w:val="24"/>
          <w:szCs w:val="24"/>
        </w:rPr>
      </w:pPr>
      <w:r w:rsidRPr="00F1213B">
        <w:rPr>
          <w:rFonts w:ascii="Times-Roman" w:hAnsi="Times-Roman" w:cs="Times-Roman"/>
          <w:color w:val="231F20"/>
          <w:sz w:val="24"/>
          <w:szCs w:val="24"/>
        </w:rPr>
        <w:t xml:space="preserve">We calculate composition-adjusted </w:t>
      </w:r>
      <w:r>
        <w:rPr>
          <w:rFonts w:ascii="Times-Roman" w:hAnsi="Times-Roman" w:cs="Times-Roman"/>
          <w:color w:val="231F20"/>
          <w:sz w:val="24"/>
          <w:szCs w:val="24"/>
        </w:rPr>
        <w:t>BA</w:t>
      </w:r>
      <w:r w:rsidRPr="00F1213B">
        <w:rPr>
          <w:rFonts w:ascii="Times-Roman" w:hAnsi="Times-Roman" w:cs="Times-Roman"/>
          <w:color w:val="231F20"/>
          <w:sz w:val="24"/>
          <w:szCs w:val="24"/>
        </w:rPr>
        <w:t>/high school</w:t>
      </w:r>
      <w:r>
        <w:rPr>
          <w:rFonts w:ascii="Times-Roman" w:hAnsi="Times-Roman" w:cs="Times-Roman"/>
          <w:color w:val="231F20"/>
          <w:sz w:val="24"/>
          <w:szCs w:val="24"/>
        </w:rPr>
        <w:t xml:space="preserve"> and AA /high school</w:t>
      </w:r>
      <w:r w:rsidRPr="00F1213B">
        <w:rPr>
          <w:rFonts w:ascii="Times-Roman" w:hAnsi="Times-Roman" w:cs="Times-Roman"/>
          <w:color w:val="231F20"/>
          <w:sz w:val="24"/>
          <w:szCs w:val="24"/>
        </w:rPr>
        <w:t xml:space="preserve"> relative wages overall and by age or experience using the March CPS sample. These data are sorted into sex-education-experience groups based on a breakdown of the data into two sexes, six education categories (high school dropout, high school graduate, some college, associate’s degree, college plus, and greater than college), and four potential experience categories (0–9, 10–19, 20–29, and 30+</w:t>
      </w:r>
      <w:r w:rsidRPr="00F1213B">
        <w:rPr>
          <w:rFonts w:ascii="Universal-GreekwithMathPi" w:hAnsi="Universal-GreekwithMathPi" w:cs="Universal-GreekwithMathPi"/>
          <w:color w:val="231F20"/>
          <w:sz w:val="24"/>
          <w:szCs w:val="24"/>
        </w:rPr>
        <w:t xml:space="preserve"> </w:t>
      </w:r>
      <w:r w:rsidRPr="00F1213B">
        <w:rPr>
          <w:rFonts w:ascii="Times-Roman" w:hAnsi="Times-Roman" w:cs="Times-Roman"/>
          <w:color w:val="231F20"/>
          <w:sz w:val="24"/>
          <w:szCs w:val="24"/>
        </w:rPr>
        <w:t>years). Log weekly wages of full-time, full-year workers are regressed in each year separately by sex on the dummy variables for four education categories, a quartic in experience</w:t>
      </w:r>
      <w:r>
        <w:rPr>
          <w:rFonts w:ascii="Times-Roman" w:hAnsi="Times-Roman" w:cs="Times-Roman"/>
          <w:color w:val="231F20"/>
          <w:sz w:val="24"/>
          <w:szCs w:val="24"/>
        </w:rPr>
        <w:t xml:space="preserve">, </w:t>
      </w:r>
      <w:r w:rsidRPr="00F1213B">
        <w:rPr>
          <w:rFonts w:ascii="Times-Roman" w:hAnsi="Times-Roman" w:cs="Times-Roman"/>
          <w:color w:val="231F20"/>
          <w:sz w:val="24"/>
          <w:szCs w:val="24"/>
        </w:rPr>
        <w:t xml:space="preserve">black and other race dummies, and interactions of the experience quartic with three broad education categories (high school graduate, some college, and college plus). The (composition-adjusted) mean log wage for each of </w:t>
      </w:r>
      <w:r w:rsidRPr="00A666D7">
        <w:rPr>
          <w:rFonts w:ascii="Times-Roman" w:hAnsi="Times-Roman" w:cs="Times-Roman"/>
          <w:color w:val="231F20"/>
          <w:sz w:val="24"/>
          <w:szCs w:val="24"/>
        </w:rPr>
        <w:t xml:space="preserve">the </w:t>
      </w:r>
      <w:r>
        <w:rPr>
          <w:rFonts w:ascii="Times-Roman" w:hAnsi="Times-Roman" w:cs="Times-Roman"/>
          <w:color w:val="231F20"/>
          <w:sz w:val="24"/>
          <w:szCs w:val="24"/>
        </w:rPr>
        <w:t>48</w:t>
      </w:r>
      <w:r w:rsidRPr="00A666D7">
        <w:rPr>
          <w:rFonts w:ascii="Times-Roman" w:hAnsi="Times-Roman" w:cs="Times-Roman"/>
          <w:color w:val="231F20"/>
          <w:sz w:val="24"/>
          <w:szCs w:val="24"/>
        </w:rPr>
        <w:t xml:space="preserve"> groups</w:t>
      </w:r>
      <w:r w:rsidRPr="00F1213B">
        <w:rPr>
          <w:rFonts w:ascii="Times-Roman" w:hAnsi="Times-Roman" w:cs="Times-Roman"/>
          <w:color w:val="231F20"/>
          <w:sz w:val="24"/>
          <w:szCs w:val="24"/>
        </w:rPr>
        <w:t xml:space="preserve"> in a given year is the predicted log wage from these regressions evaluated for whites at the relevant experience level (5, 15, 25, or 35 years depending on the experience group). Mean log wages for broader groups in each year represent weighted averages of the relevant (composition-adjusted) cell means using a fixed set of weights, equal to the mean share of total hours worked by each group over 19</w:t>
      </w:r>
      <w:r>
        <w:rPr>
          <w:rFonts w:ascii="Times-Roman" w:hAnsi="Times-Roman" w:cs="Times-Roman"/>
          <w:color w:val="231F20"/>
          <w:sz w:val="24"/>
          <w:szCs w:val="24"/>
        </w:rPr>
        <w:t>63</w:t>
      </w:r>
      <w:r w:rsidRPr="00F1213B">
        <w:rPr>
          <w:rFonts w:ascii="Times-Roman" w:hAnsi="Times-Roman" w:cs="Times-Roman"/>
          <w:color w:val="231F20"/>
          <w:sz w:val="24"/>
          <w:szCs w:val="24"/>
        </w:rPr>
        <w:t xml:space="preserve"> to 2018 (or 1979-2018, depending on the specification) from the March CPS.</w:t>
      </w:r>
      <w:r>
        <w:rPr>
          <w:rFonts w:ascii="Times-Roman" w:hAnsi="Times-Roman" w:cs="Times-Roman"/>
          <w:color w:val="231F20"/>
          <w:sz w:val="24"/>
          <w:szCs w:val="24"/>
        </w:rPr>
        <w:t xml:space="preserve"> </w:t>
      </w:r>
    </w:p>
    <w:p w14:paraId="1D404607" w14:textId="77777777" w:rsidR="000F7C00" w:rsidRPr="00F1213B" w:rsidRDefault="000F7C00" w:rsidP="000F7C00">
      <w:pPr>
        <w:autoSpaceDE w:val="0"/>
        <w:autoSpaceDN w:val="0"/>
        <w:adjustRightInd w:val="0"/>
        <w:spacing w:after="0" w:line="240" w:lineRule="auto"/>
        <w:rPr>
          <w:rFonts w:ascii="Times-Roman" w:hAnsi="Times-Roman" w:cs="Times-Roman"/>
          <w:color w:val="231F20"/>
          <w:sz w:val="24"/>
          <w:szCs w:val="24"/>
        </w:rPr>
      </w:pPr>
    </w:p>
    <w:p w14:paraId="45CB2B8C" w14:textId="77777777" w:rsidR="000F7C00" w:rsidRPr="00F1213B" w:rsidRDefault="000F7C00" w:rsidP="000F7C00">
      <w:pPr>
        <w:autoSpaceDE w:val="0"/>
        <w:autoSpaceDN w:val="0"/>
        <w:adjustRightInd w:val="0"/>
        <w:spacing w:after="0" w:line="240" w:lineRule="auto"/>
        <w:rPr>
          <w:rFonts w:ascii="Times-Bold" w:hAnsi="Times-Bold" w:cs="Times-Bold"/>
          <w:b/>
          <w:bCs/>
          <w:color w:val="231F20"/>
          <w:sz w:val="24"/>
          <w:szCs w:val="24"/>
        </w:rPr>
      </w:pPr>
      <w:r w:rsidRPr="00F1213B">
        <w:rPr>
          <w:rFonts w:ascii="Times-Bold" w:hAnsi="Times-Bold" w:cs="Times-Bold"/>
          <w:b/>
          <w:bCs/>
          <w:color w:val="231F20"/>
          <w:sz w:val="24"/>
          <w:szCs w:val="24"/>
        </w:rPr>
        <w:t>Construction of Relative Supply Measures</w:t>
      </w:r>
    </w:p>
    <w:p w14:paraId="1E526BC2" w14:textId="77777777" w:rsidR="000F7C00" w:rsidRDefault="000F7C00" w:rsidP="000F7C00">
      <w:pPr>
        <w:autoSpaceDE w:val="0"/>
        <w:autoSpaceDN w:val="0"/>
        <w:adjustRightInd w:val="0"/>
        <w:spacing w:after="0" w:line="240" w:lineRule="auto"/>
        <w:rPr>
          <w:rFonts w:ascii="Times-Roman" w:hAnsi="Times-Roman" w:cs="Times-Roman"/>
          <w:color w:val="231F20"/>
          <w:sz w:val="24"/>
          <w:szCs w:val="24"/>
        </w:rPr>
      </w:pPr>
      <w:r w:rsidRPr="00F1213B">
        <w:rPr>
          <w:rFonts w:ascii="Times-Roman" w:hAnsi="Times-Roman" w:cs="Times-Roman"/>
          <w:color w:val="231F20"/>
          <w:sz w:val="24"/>
          <w:szCs w:val="24"/>
        </w:rPr>
        <w:t xml:space="preserve">We calculate </w:t>
      </w:r>
      <w:r>
        <w:rPr>
          <w:rFonts w:ascii="Times-Roman" w:hAnsi="Times-Roman" w:cs="Times-Roman"/>
          <w:color w:val="231F20"/>
          <w:sz w:val="24"/>
          <w:szCs w:val="24"/>
        </w:rPr>
        <w:t>BA</w:t>
      </w:r>
      <w:r w:rsidRPr="00F1213B">
        <w:rPr>
          <w:rFonts w:ascii="Times-Roman" w:hAnsi="Times-Roman" w:cs="Times-Roman"/>
          <w:color w:val="231F20"/>
          <w:sz w:val="24"/>
          <w:szCs w:val="24"/>
        </w:rPr>
        <w:t xml:space="preserve">/high school </w:t>
      </w:r>
      <w:r>
        <w:rPr>
          <w:rFonts w:ascii="Times-Roman" w:hAnsi="Times-Roman" w:cs="Times-Roman"/>
          <w:color w:val="231F20"/>
          <w:sz w:val="24"/>
          <w:szCs w:val="24"/>
        </w:rPr>
        <w:t xml:space="preserve">and AA/high school </w:t>
      </w:r>
      <w:r w:rsidRPr="00F1213B">
        <w:rPr>
          <w:rFonts w:ascii="Times-Roman" w:hAnsi="Times-Roman" w:cs="Times-Roman"/>
          <w:color w:val="231F20"/>
          <w:sz w:val="24"/>
          <w:szCs w:val="24"/>
        </w:rPr>
        <w:t xml:space="preserve">relative supply measures using the March </w:t>
      </w:r>
      <w:r>
        <w:rPr>
          <w:rFonts w:ascii="Times-Roman" w:hAnsi="Times-Roman" w:cs="Times-Roman"/>
          <w:color w:val="231F20"/>
          <w:sz w:val="24"/>
          <w:szCs w:val="24"/>
        </w:rPr>
        <w:t>CPS sample.</w:t>
      </w:r>
      <w:r w:rsidRPr="00F1213B">
        <w:rPr>
          <w:rFonts w:ascii="Times-Roman" w:hAnsi="Times-Roman" w:cs="Times-Roman"/>
          <w:color w:val="231F20"/>
          <w:sz w:val="24"/>
          <w:szCs w:val="24"/>
        </w:rPr>
        <w:t xml:space="preserve"> </w:t>
      </w:r>
      <w:proofErr w:type="gramStart"/>
      <w:r w:rsidRPr="00F1213B">
        <w:rPr>
          <w:rFonts w:ascii="Times-Roman" w:hAnsi="Times-Roman" w:cs="Times-Roman"/>
          <w:color w:val="231F20"/>
          <w:sz w:val="24"/>
          <w:szCs w:val="24"/>
        </w:rPr>
        <w:t xml:space="preserve">We form a labor “quantity sample” equal to total hours worked by all employed workers (including those in self-employment) with 0 to 39 years of potential experience </w:t>
      </w:r>
      <w:r w:rsidRPr="004032C3">
        <w:rPr>
          <w:rFonts w:ascii="Times-Roman" w:hAnsi="Times-Roman" w:cs="Times-Roman"/>
          <w:color w:val="231F20"/>
          <w:sz w:val="24"/>
          <w:szCs w:val="24"/>
        </w:rPr>
        <w:t xml:space="preserve">in </w:t>
      </w:r>
      <w:r>
        <w:rPr>
          <w:rFonts w:ascii="Times-Roman" w:hAnsi="Times-Roman" w:cs="Times-Roman"/>
          <w:color w:val="231F20"/>
          <w:sz w:val="24"/>
          <w:szCs w:val="24"/>
        </w:rPr>
        <w:t xml:space="preserve">48 </w:t>
      </w:r>
      <w:r w:rsidRPr="00F1213B">
        <w:rPr>
          <w:rFonts w:ascii="Times-Roman" w:hAnsi="Times-Roman" w:cs="Times-Roman"/>
          <w:color w:val="231F20"/>
          <w:sz w:val="24"/>
          <w:szCs w:val="24"/>
        </w:rPr>
        <w:t>gender</w:t>
      </w:r>
      <w:r w:rsidRPr="00F1213B">
        <w:rPr>
          <w:rFonts w:ascii="Universal-GreekwithMathPi" w:hAnsi="Universal-GreekwithMathPi" w:cs="Universal-GreekwithMathPi"/>
          <w:color w:val="231F20"/>
          <w:sz w:val="24"/>
          <w:szCs w:val="24"/>
        </w:rPr>
        <w:t>-</w:t>
      </w:r>
      <w:r w:rsidRPr="00F1213B">
        <w:rPr>
          <w:rFonts w:ascii="Times-Roman" w:hAnsi="Times-Roman" w:cs="Times-Roman"/>
          <w:color w:val="231F20"/>
          <w:sz w:val="24"/>
          <w:szCs w:val="24"/>
        </w:rPr>
        <w:t>education</w:t>
      </w:r>
      <w:r w:rsidRPr="00F1213B">
        <w:rPr>
          <w:rFonts w:ascii="Universal-GreekwithMathPi" w:hAnsi="Universal-GreekwithMathPi" w:cs="Universal-GreekwithMathPi"/>
          <w:color w:val="231F20"/>
          <w:sz w:val="24"/>
          <w:szCs w:val="24"/>
        </w:rPr>
        <w:t>-</w:t>
      </w:r>
      <w:r w:rsidRPr="00F1213B">
        <w:rPr>
          <w:rFonts w:ascii="Times-Roman" w:hAnsi="Times-Roman" w:cs="Times-Roman"/>
          <w:color w:val="231F20"/>
          <w:sz w:val="24"/>
          <w:szCs w:val="24"/>
        </w:rPr>
        <w:t xml:space="preserve">potential experience cells: experience groups are </w:t>
      </w:r>
      <w:r>
        <w:rPr>
          <w:rFonts w:ascii="Times-Roman" w:hAnsi="Times-Roman" w:cs="Times-Roman"/>
          <w:color w:val="231F20"/>
          <w:sz w:val="24"/>
          <w:szCs w:val="24"/>
        </w:rPr>
        <w:t>ten</w:t>
      </w:r>
      <w:r w:rsidRPr="00F1213B">
        <w:rPr>
          <w:rFonts w:ascii="Times-Roman" w:hAnsi="Times-Roman" w:cs="Times-Roman"/>
          <w:color w:val="231F20"/>
          <w:sz w:val="24"/>
          <w:szCs w:val="24"/>
        </w:rPr>
        <w:t xml:space="preserve">-year categories </w:t>
      </w:r>
      <w:r w:rsidRPr="004032C3">
        <w:rPr>
          <w:rFonts w:ascii="Times-Roman" w:hAnsi="Times-Roman" w:cs="Times-Roman"/>
          <w:color w:val="231F20"/>
          <w:sz w:val="24"/>
          <w:szCs w:val="24"/>
        </w:rPr>
        <w:t>of 0</w:t>
      </w:r>
      <w:r>
        <w:rPr>
          <w:rFonts w:ascii="Times-Roman" w:hAnsi="Times-Roman" w:cs="Times-Roman"/>
          <w:color w:val="231F20"/>
          <w:sz w:val="24"/>
          <w:szCs w:val="24"/>
        </w:rPr>
        <w:t>-9, 10-19, 20-29, and 30-39</w:t>
      </w:r>
      <w:r w:rsidRPr="00F1213B">
        <w:rPr>
          <w:rFonts w:ascii="Times-Roman" w:hAnsi="Times-Roman" w:cs="Times-Roman"/>
          <w:color w:val="231F20"/>
          <w:sz w:val="24"/>
          <w:szCs w:val="24"/>
        </w:rPr>
        <w:t xml:space="preserve"> years; education groups are high school dropout, high school graduate, some college, associate’s degree holder, college graduate, and post-college.</w:t>
      </w:r>
      <w:proofErr w:type="gramEnd"/>
      <w:r w:rsidRPr="00F1213B">
        <w:rPr>
          <w:rFonts w:ascii="Times-Roman" w:hAnsi="Times-Roman" w:cs="Times-Roman"/>
          <w:color w:val="231F20"/>
          <w:sz w:val="24"/>
          <w:szCs w:val="24"/>
        </w:rPr>
        <w:t xml:space="preserve"> The quantity data are merged to a corresponding “price sample” containing real mean full-time weekly (March CPS) wages by year, gender, potential experience, and education. (Wage data used for the price sample correspond to the earnings samples described above.) Wages in each </w:t>
      </w:r>
      <w:r w:rsidRPr="004032C3">
        <w:rPr>
          <w:rFonts w:ascii="Times-Roman" w:hAnsi="Times-Roman" w:cs="Times-Roman"/>
          <w:color w:val="231F20"/>
          <w:sz w:val="24"/>
          <w:szCs w:val="24"/>
        </w:rPr>
        <w:t>of the 4</w:t>
      </w:r>
      <w:r>
        <w:rPr>
          <w:rFonts w:ascii="Times-Roman" w:hAnsi="Times-Roman" w:cs="Times-Roman"/>
          <w:color w:val="231F20"/>
          <w:sz w:val="24"/>
          <w:szCs w:val="24"/>
        </w:rPr>
        <w:t>8</w:t>
      </w:r>
      <w:r w:rsidRPr="00F1213B">
        <w:rPr>
          <w:rFonts w:ascii="Times-Roman" w:hAnsi="Times-Roman" w:cs="Times-Roman"/>
          <w:color w:val="231F20"/>
          <w:sz w:val="24"/>
          <w:szCs w:val="24"/>
        </w:rPr>
        <w:t xml:space="preserve"> earnings cells in each year </w:t>
      </w:r>
      <w:proofErr w:type="gramStart"/>
      <w:r w:rsidRPr="00F1213B">
        <w:rPr>
          <w:rFonts w:ascii="Times-Roman" w:hAnsi="Times-Roman" w:cs="Times-Roman"/>
          <w:color w:val="231F20"/>
          <w:sz w:val="24"/>
          <w:szCs w:val="24"/>
        </w:rPr>
        <w:t>are normalized</w:t>
      </w:r>
      <w:proofErr w:type="gramEnd"/>
      <w:r w:rsidRPr="00F1213B">
        <w:rPr>
          <w:rFonts w:ascii="Times-Roman" w:hAnsi="Times-Roman" w:cs="Times-Roman"/>
          <w:color w:val="231F20"/>
          <w:sz w:val="24"/>
          <w:szCs w:val="24"/>
        </w:rPr>
        <w:t xml:space="preserve"> to a relative wage measure by dividing each by the wage of high school graduate males with ten years of potential experience in the contemporaneous year</w:t>
      </w:r>
      <w:r>
        <w:rPr>
          <w:rFonts w:ascii="Times-Roman" w:hAnsi="Times-Roman" w:cs="Times-Roman"/>
          <w:color w:val="231F20"/>
          <w:sz w:val="24"/>
          <w:szCs w:val="24"/>
        </w:rPr>
        <w:t xml:space="preserve">. </w:t>
      </w:r>
      <w:r w:rsidRPr="00F1213B">
        <w:rPr>
          <w:rFonts w:ascii="Times-Roman" w:hAnsi="Times-Roman" w:cs="Times-Roman"/>
          <w:color w:val="231F20"/>
          <w:sz w:val="24"/>
          <w:szCs w:val="24"/>
        </w:rPr>
        <w:t>We compute an “efficiency unit” measure for each gender-experience-education cell as the arithmetic mean of the relative wage measure in that cell over 1964 through 201</w:t>
      </w:r>
      <w:r>
        <w:rPr>
          <w:rFonts w:ascii="Times-Roman" w:hAnsi="Times-Roman" w:cs="Times-Roman"/>
          <w:color w:val="231F20"/>
          <w:sz w:val="24"/>
          <w:szCs w:val="24"/>
        </w:rPr>
        <w:t>8 (or 1979-2018)</w:t>
      </w:r>
      <w:r w:rsidRPr="00F1213B">
        <w:rPr>
          <w:rFonts w:ascii="Times-Roman" w:hAnsi="Times-Roman" w:cs="Times-Roman"/>
          <w:color w:val="231F20"/>
          <w:sz w:val="24"/>
          <w:szCs w:val="24"/>
        </w:rPr>
        <w:t xml:space="preserve">. The quantity and price samples </w:t>
      </w:r>
      <w:proofErr w:type="gramStart"/>
      <w:r w:rsidRPr="00F1213B">
        <w:rPr>
          <w:rFonts w:ascii="Times-Roman" w:hAnsi="Times-Roman" w:cs="Times-Roman"/>
          <w:color w:val="231F20"/>
          <w:sz w:val="24"/>
          <w:szCs w:val="24"/>
        </w:rPr>
        <w:t>are combined</w:t>
      </w:r>
      <w:proofErr w:type="gramEnd"/>
      <w:r w:rsidRPr="00F1213B">
        <w:rPr>
          <w:rFonts w:ascii="Times-Roman" w:hAnsi="Times-Roman" w:cs="Times-Roman"/>
          <w:color w:val="231F20"/>
          <w:sz w:val="24"/>
          <w:szCs w:val="24"/>
        </w:rPr>
        <w:t xml:space="preserve"> to calculate relative log college/high school and log associate’s degree/high school supplies. </w:t>
      </w:r>
      <w:r>
        <w:rPr>
          <w:rFonts w:ascii="Times-Roman" w:hAnsi="Times-Roman" w:cs="Times-Roman"/>
          <w:color w:val="231F20"/>
          <w:sz w:val="24"/>
          <w:szCs w:val="24"/>
        </w:rPr>
        <w:t>We d</w:t>
      </w:r>
      <w:r w:rsidRPr="00F1213B">
        <w:rPr>
          <w:rFonts w:ascii="Times-Roman" w:hAnsi="Times-Roman" w:cs="Times-Roman"/>
          <w:color w:val="231F20"/>
          <w:sz w:val="24"/>
          <w:szCs w:val="24"/>
        </w:rPr>
        <w:t xml:space="preserve">efine the efficiency units of labor supply of a gender-education-potential experience group in year </w:t>
      </w:r>
      <w:r w:rsidRPr="00F1213B">
        <w:rPr>
          <w:rFonts w:ascii="Times-Italic" w:hAnsi="Times-Italic" w:cs="Times-Italic"/>
          <w:i/>
          <w:iCs/>
          <w:color w:val="231F20"/>
          <w:sz w:val="24"/>
          <w:szCs w:val="24"/>
        </w:rPr>
        <w:t xml:space="preserve">t </w:t>
      </w:r>
      <w:r w:rsidRPr="00F1213B">
        <w:rPr>
          <w:rFonts w:ascii="Times-Roman" w:hAnsi="Times-Roman" w:cs="Times-Roman"/>
          <w:color w:val="231F20"/>
          <w:sz w:val="24"/>
          <w:szCs w:val="24"/>
        </w:rPr>
        <w:t xml:space="preserve">as the </w:t>
      </w:r>
      <w:proofErr w:type="gramStart"/>
      <w:r w:rsidRPr="00F1213B">
        <w:rPr>
          <w:rFonts w:ascii="Times-Roman" w:hAnsi="Times-Roman" w:cs="Times-Roman"/>
          <w:color w:val="231F20"/>
          <w:sz w:val="24"/>
          <w:szCs w:val="24"/>
        </w:rPr>
        <w:t>efficiency unit wage measure</w:t>
      </w:r>
      <w:proofErr w:type="gramEnd"/>
      <w:r w:rsidRPr="00F1213B">
        <w:rPr>
          <w:rFonts w:ascii="Times-Roman" w:hAnsi="Times-Roman" w:cs="Times-Roman"/>
          <w:color w:val="231F20"/>
          <w:sz w:val="24"/>
          <w:szCs w:val="24"/>
        </w:rPr>
        <w:t xml:space="preserve"> multiplied by the group’s quantity of labor supply in year </w:t>
      </w:r>
      <w:r w:rsidRPr="00F1213B">
        <w:rPr>
          <w:rFonts w:ascii="Times-Italic" w:hAnsi="Times-Italic" w:cs="Times-Italic"/>
          <w:i/>
          <w:iCs/>
          <w:color w:val="231F20"/>
          <w:sz w:val="24"/>
          <w:szCs w:val="24"/>
        </w:rPr>
        <w:t>t</w:t>
      </w:r>
      <w:r w:rsidRPr="00F1213B">
        <w:rPr>
          <w:rFonts w:ascii="Times-Roman" w:hAnsi="Times-Roman" w:cs="Times-Roman"/>
          <w:color w:val="231F20"/>
          <w:sz w:val="24"/>
          <w:szCs w:val="24"/>
        </w:rPr>
        <w:t xml:space="preserve">. Following </w:t>
      </w:r>
      <w:proofErr w:type="spellStart"/>
      <w:r w:rsidRPr="00F1213B">
        <w:rPr>
          <w:rFonts w:ascii="Times-Roman" w:hAnsi="Times-Roman" w:cs="Times-Roman"/>
          <w:color w:val="231F20"/>
          <w:sz w:val="24"/>
          <w:szCs w:val="24"/>
        </w:rPr>
        <w:t>Autor</w:t>
      </w:r>
      <w:proofErr w:type="spellEnd"/>
      <w:r w:rsidRPr="00F1213B">
        <w:rPr>
          <w:rFonts w:ascii="Times-Roman" w:hAnsi="Times-Roman" w:cs="Times-Roman"/>
          <w:color w:val="231F20"/>
          <w:sz w:val="24"/>
          <w:szCs w:val="24"/>
        </w:rPr>
        <w:t xml:space="preserve">, Katz, and Krueger (1998) and Card and Lemieux (2001), we calculate aggregate college-equivalent labor supply as the total efficiency units of labor supplied by college or college-plus workers plus half of the efficiency units of labor supplied by workers with some college. Similarly, aggregate high school–equivalent labor supply is the sum of efficiency units supplied by high school or lower workers, plus half of the efficiency units supplied by workers with some college. Our </w:t>
      </w:r>
      <w:r>
        <w:rPr>
          <w:rFonts w:ascii="Times-Roman" w:hAnsi="Times-Roman" w:cs="Times-Roman"/>
          <w:color w:val="231F20"/>
          <w:sz w:val="24"/>
          <w:szCs w:val="24"/>
        </w:rPr>
        <w:t>BA</w:t>
      </w:r>
      <w:r w:rsidRPr="00F1213B">
        <w:rPr>
          <w:rFonts w:ascii="Times-Roman" w:hAnsi="Times-Roman" w:cs="Times-Roman"/>
          <w:color w:val="231F20"/>
          <w:sz w:val="24"/>
          <w:szCs w:val="24"/>
        </w:rPr>
        <w:t>/high school</w:t>
      </w:r>
      <w:r>
        <w:rPr>
          <w:rFonts w:ascii="Times-Roman" w:hAnsi="Times-Roman" w:cs="Times-Roman"/>
          <w:color w:val="231F20"/>
          <w:sz w:val="24"/>
          <w:szCs w:val="24"/>
        </w:rPr>
        <w:t xml:space="preserve"> (and</w:t>
      </w:r>
      <w:r w:rsidRPr="00F1213B">
        <w:rPr>
          <w:rFonts w:ascii="Times-Roman" w:hAnsi="Times-Roman" w:cs="Times-Roman"/>
          <w:color w:val="231F20"/>
          <w:sz w:val="24"/>
          <w:szCs w:val="24"/>
        </w:rPr>
        <w:t xml:space="preserve"> </w:t>
      </w:r>
      <w:r>
        <w:rPr>
          <w:rFonts w:ascii="Times-Roman" w:hAnsi="Times-Roman" w:cs="Times-Roman"/>
          <w:color w:val="231F20"/>
          <w:sz w:val="24"/>
          <w:szCs w:val="24"/>
        </w:rPr>
        <w:t xml:space="preserve">AA/high school) </w:t>
      </w:r>
      <w:r w:rsidRPr="00F1213B">
        <w:rPr>
          <w:rFonts w:ascii="Times-Roman" w:hAnsi="Times-Roman" w:cs="Times-Roman"/>
          <w:color w:val="231F20"/>
          <w:sz w:val="24"/>
          <w:szCs w:val="24"/>
        </w:rPr>
        <w:t xml:space="preserve">log relative supply index is the natural logarithm of the ratio of </w:t>
      </w:r>
      <w:r>
        <w:rPr>
          <w:rFonts w:ascii="Times-Roman" w:hAnsi="Times-Roman" w:cs="Times-Roman"/>
          <w:color w:val="231F20"/>
          <w:sz w:val="24"/>
          <w:szCs w:val="24"/>
        </w:rPr>
        <w:t>BA</w:t>
      </w:r>
      <w:r w:rsidRPr="00F1213B">
        <w:rPr>
          <w:rFonts w:ascii="Times-Roman" w:hAnsi="Times-Roman" w:cs="Times-Roman"/>
          <w:color w:val="231F20"/>
          <w:sz w:val="24"/>
          <w:szCs w:val="24"/>
        </w:rPr>
        <w:t>-equivalent to non</w:t>
      </w:r>
      <w:r>
        <w:rPr>
          <w:rFonts w:ascii="Times-Roman" w:hAnsi="Times-Roman" w:cs="Times-Roman"/>
          <w:color w:val="231F20"/>
          <w:sz w:val="24"/>
          <w:szCs w:val="24"/>
        </w:rPr>
        <w:t>-BA</w:t>
      </w:r>
      <w:r w:rsidRPr="00F1213B">
        <w:rPr>
          <w:rFonts w:ascii="Times-Roman" w:hAnsi="Times-Roman" w:cs="Times-Roman"/>
          <w:color w:val="231F20"/>
          <w:sz w:val="24"/>
          <w:szCs w:val="24"/>
        </w:rPr>
        <w:t>-equivalent</w:t>
      </w:r>
      <w:r>
        <w:rPr>
          <w:rFonts w:ascii="Times-Roman" w:hAnsi="Times-Roman" w:cs="Times-Roman"/>
          <w:color w:val="231F20"/>
          <w:sz w:val="24"/>
          <w:szCs w:val="24"/>
        </w:rPr>
        <w:t xml:space="preserve"> (or AA/non-AA)</w:t>
      </w:r>
      <w:r w:rsidRPr="00F1213B">
        <w:rPr>
          <w:rFonts w:ascii="Times-Roman" w:hAnsi="Times-Roman" w:cs="Times-Roman"/>
          <w:color w:val="231F20"/>
          <w:sz w:val="24"/>
          <w:szCs w:val="24"/>
        </w:rPr>
        <w:t xml:space="preserve"> labor supply (in efficiency units) in each year. This measure </w:t>
      </w:r>
      <w:proofErr w:type="gramStart"/>
      <w:r w:rsidRPr="00F1213B">
        <w:rPr>
          <w:rFonts w:ascii="Times-Roman" w:hAnsi="Times-Roman" w:cs="Times-Roman"/>
          <w:color w:val="231F20"/>
          <w:sz w:val="24"/>
          <w:szCs w:val="24"/>
        </w:rPr>
        <w:t>is calculated</w:t>
      </w:r>
      <w:proofErr w:type="gramEnd"/>
      <w:r w:rsidRPr="00F1213B">
        <w:rPr>
          <w:rFonts w:ascii="Times-Roman" w:hAnsi="Times-Roman" w:cs="Times-Roman"/>
          <w:color w:val="231F20"/>
          <w:sz w:val="24"/>
          <w:szCs w:val="24"/>
        </w:rPr>
        <w:t xml:space="preserve"> overall for each year and by </w:t>
      </w:r>
      <w:r w:rsidRPr="00A666D7">
        <w:rPr>
          <w:rFonts w:ascii="Times-Roman" w:hAnsi="Times-Roman" w:cs="Times-Roman"/>
          <w:color w:val="231F20"/>
          <w:sz w:val="24"/>
          <w:szCs w:val="24"/>
        </w:rPr>
        <w:t>ten-year potential experience</w:t>
      </w:r>
      <w:r w:rsidRPr="00F1213B">
        <w:rPr>
          <w:rFonts w:ascii="Times-Roman" w:hAnsi="Times-Roman" w:cs="Times-Roman"/>
          <w:color w:val="231F20"/>
          <w:sz w:val="24"/>
          <w:szCs w:val="24"/>
        </w:rPr>
        <w:t xml:space="preserve"> groupings.</w:t>
      </w:r>
    </w:p>
    <w:p w14:paraId="5AFCB968" w14:textId="77777777" w:rsidR="000F7C00" w:rsidRDefault="000F7C00" w:rsidP="000F7C00">
      <w:pPr>
        <w:autoSpaceDE w:val="0"/>
        <w:autoSpaceDN w:val="0"/>
        <w:adjustRightInd w:val="0"/>
        <w:spacing w:after="0" w:line="240" w:lineRule="auto"/>
        <w:ind w:left="720"/>
        <w:rPr>
          <w:rFonts w:ascii="Times-Roman" w:hAnsi="Times-Roman" w:cs="Times-Roman"/>
          <w:color w:val="231F20"/>
          <w:sz w:val="24"/>
          <w:szCs w:val="24"/>
        </w:rPr>
      </w:pPr>
    </w:p>
    <w:p w14:paraId="2C61B302" w14:textId="77777777" w:rsidR="000F7C00" w:rsidRPr="0085330E" w:rsidRDefault="000F7C00" w:rsidP="000F7C00">
      <w:pPr>
        <w:autoSpaceDE w:val="0"/>
        <w:autoSpaceDN w:val="0"/>
        <w:adjustRightInd w:val="0"/>
        <w:spacing w:after="0" w:line="240" w:lineRule="auto"/>
        <w:ind w:left="720"/>
        <w:rPr>
          <w:rFonts w:ascii="Times-Roman" w:hAnsi="Times-Roman" w:cs="Times-Roman"/>
          <w:color w:val="231F20"/>
          <w:sz w:val="24"/>
          <w:szCs w:val="24"/>
        </w:rPr>
      </w:pPr>
    </w:p>
    <w:p w14:paraId="3B1D209B" w14:textId="77777777" w:rsidR="000F7C00" w:rsidRDefault="000F7C00" w:rsidP="000F7C00">
      <w:pPr>
        <w:rPr>
          <w:rFonts w:ascii="Times New Roman" w:hAnsi="Times New Roman" w:cs="Times New Roman"/>
          <w:b/>
          <w:bCs/>
          <w:sz w:val="24"/>
          <w:szCs w:val="24"/>
        </w:rPr>
      </w:pPr>
      <w:r>
        <w:rPr>
          <w:rFonts w:ascii="Times New Roman" w:hAnsi="Times New Roman" w:cs="Times New Roman"/>
          <w:b/>
          <w:bCs/>
          <w:sz w:val="24"/>
          <w:szCs w:val="24"/>
        </w:rPr>
        <w:lastRenderedPageBreak/>
        <w:t>C.2: Elasticity Estimates</w:t>
      </w:r>
    </w:p>
    <w:p w14:paraId="67789BB8" w14:textId="77777777" w:rsidR="000F7C00" w:rsidRPr="0095311B" w:rsidRDefault="000F7C00" w:rsidP="000F7C00">
      <w:pPr>
        <w:spacing w:after="0"/>
        <w:rPr>
          <w:rFonts w:ascii="Times New Roman" w:hAnsi="Times New Roman" w:cs="Times New Roman"/>
          <w:b/>
          <w:bCs/>
          <w:sz w:val="24"/>
          <w:szCs w:val="24"/>
        </w:rPr>
      </w:pPr>
      <w:r>
        <w:rPr>
          <w:rFonts w:ascii="Times New Roman" w:hAnsi="Times New Roman" w:cs="Times New Roman"/>
          <w:b/>
          <w:bCs/>
          <w:sz w:val="24"/>
          <w:szCs w:val="24"/>
        </w:rPr>
        <w:t>BA/HS Elasticity of Substitution</w:t>
      </w:r>
    </w:p>
    <w:p w14:paraId="18FAD1A4" w14:textId="77777777" w:rsidR="000F7C00" w:rsidRDefault="000F7C00" w:rsidP="000F7C00">
      <w:pPr>
        <w:rPr>
          <w:rFonts w:ascii="Times New Roman" w:hAnsi="Times New Roman" w:cs="Times New Roman"/>
          <w:sz w:val="24"/>
          <w:szCs w:val="24"/>
        </w:rPr>
      </w:pPr>
      <w:r>
        <w:rPr>
          <w:rFonts w:ascii="Times New Roman" w:hAnsi="Times New Roman" w:cs="Times New Roman"/>
          <w:sz w:val="24"/>
          <w:szCs w:val="24"/>
        </w:rPr>
        <w:t xml:space="preserve">We then use these measures of relative wages and relative supply to create estimates of how the wage </w:t>
      </w:r>
      <w:proofErr w:type="spellStart"/>
      <w:r>
        <w:rPr>
          <w:rFonts w:ascii="Times New Roman" w:hAnsi="Times New Roman" w:cs="Times New Roman"/>
          <w:sz w:val="24"/>
          <w:szCs w:val="24"/>
        </w:rPr>
        <w:t>premia</w:t>
      </w:r>
      <w:proofErr w:type="spellEnd"/>
      <w:r>
        <w:rPr>
          <w:rFonts w:ascii="Times New Roman" w:hAnsi="Times New Roman" w:cs="Times New Roman"/>
          <w:sz w:val="24"/>
          <w:szCs w:val="24"/>
        </w:rPr>
        <w:t xml:space="preserve"> will respond to changes in the relative supply from our simulations. Following </w:t>
      </w:r>
      <w:proofErr w:type="spellStart"/>
      <w:r>
        <w:rPr>
          <w:rFonts w:ascii="Times New Roman" w:hAnsi="Times New Roman" w:cs="Times New Roman"/>
          <w:sz w:val="24"/>
          <w:szCs w:val="24"/>
        </w:rPr>
        <w:t>Acemoglu</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Autor</w:t>
      </w:r>
      <w:proofErr w:type="spellEnd"/>
      <w:r>
        <w:rPr>
          <w:rFonts w:ascii="Times New Roman" w:hAnsi="Times New Roman" w:cs="Times New Roman"/>
          <w:sz w:val="24"/>
          <w:szCs w:val="24"/>
        </w:rPr>
        <w:t xml:space="preserve"> (2011), we begin with a constant elasticity of supply production function with two inputs: high-high skill labor (</w:t>
      </w:r>
      <w:proofErr w:type="spellStart"/>
      <w:r>
        <w:rPr>
          <w:rFonts w:ascii="Times New Roman" w:hAnsi="Times New Roman" w:cs="Times New Roman"/>
          <w:sz w:val="24"/>
          <w:szCs w:val="24"/>
        </w:rPr>
        <w:t>proxied</w:t>
      </w:r>
      <w:proofErr w:type="spellEnd"/>
      <w:r>
        <w:rPr>
          <w:rFonts w:ascii="Times New Roman" w:hAnsi="Times New Roman" w:cs="Times New Roman"/>
          <w:sz w:val="24"/>
          <w:szCs w:val="24"/>
        </w:rPr>
        <w:t xml:space="preserve"> for by those with a BA or more) and low-skill labor (high school graduates), </w:t>
      </w:r>
    </w:p>
    <w:p w14:paraId="6949345A" w14:textId="77777777" w:rsidR="000F7C00" w:rsidRDefault="000F7C00" w:rsidP="000F7C00">
      <w:pPr>
        <w:jc w:val="center"/>
        <w:rPr>
          <w:rFonts w:ascii="Times New Roman" w:hAnsi="Times New Roman" w:cs="Times New Roman"/>
          <w:sz w:val="24"/>
          <w:szCs w:val="24"/>
        </w:rPr>
      </w:pPr>
      <m:oMath>
        <m:r>
          <w:rPr>
            <w:rFonts w:ascii="Cambria Math" w:hAnsi="Cambria Math" w:cs="Times New Roman"/>
            <w:sz w:val="32"/>
            <w:szCs w:val="32"/>
          </w:rPr>
          <m:t xml:space="preserve">Y= </m:t>
        </m:r>
        <m:sSup>
          <m:sSupPr>
            <m:ctrlPr>
              <w:rPr>
                <w:rFonts w:ascii="Cambria Math" w:hAnsi="Cambria Math" w:cs="Times New Roman"/>
                <w:i/>
                <w:sz w:val="32"/>
                <w:szCs w:val="32"/>
              </w:rPr>
            </m:ctrlPr>
          </m:sSupPr>
          <m:e>
            <m:r>
              <w:rPr>
                <w:rFonts w:ascii="Cambria Math" w:hAnsi="Cambria Math" w:cs="Times New Roman"/>
                <w:sz w:val="32"/>
                <w:szCs w:val="32"/>
              </w:rPr>
              <m:t xml:space="preserve"> </m:t>
            </m:r>
            <m:d>
              <m:dPr>
                <m:begChr m:val="["/>
                <m:endChr m:val="]"/>
                <m:ctrlPr>
                  <w:rPr>
                    <w:rFonts w:ascii="Cambria Math" w:hAnsi="Cambria Math" w:cs="Times New Roman"/>
                    <w:i/>
                    <w:sz w:val="32"/>
                    <w:szCs w:val="32"/>
                  </w:rPr>
                </m:ctrlPr>
              </m:dPr>
              <m:e>
                <m:sSup>
                  <m:sSupPr>
                    <m:ctrlPr>
                      <w:rPr>
                        <w:rFonts w:ascii="Cambria Math" w:hAnsi="Cambria Math" w:cs="Times New Roman"/>
                        <w:i/>
                        <w:sz w:val="32"/>
                        <w:szCs w:val="32"/>
                      </w:rPr>
                    </m:ctrlPr>
                  </m:sSupPr>
                  <m:e>
                    <m:d>
                      <m:dPr>
                        <m:ctrlPr>
                          <w:rPr>
                            <w:rFonts w:ascii="Cambria Math" w:hAnsi="Cambria Math" w:cs="Times New Roman"/>
                            <w:i/>
                            <w:sz w:val="32"/>
                            <w:szCs w:val="32"/>
                          </w:rPr>
                        </m:ctrlPr>
                      </m:dPr>
                      <m:e>
                        <m:sSub>
                          <m:sSubPr>
                            <m:ctrlPr>
                              <w:rPr>
                                <w:rFonts w:ascii="Cambria Math" w:hAnsi="Cambria Math" w:cs="Times New Roman"/>
                                <w:i/>
                                <w:sz w:val="32"/>
                                <w:szCs w:val="32"/>
                              </w:rPr>
                            </m:ctrlPr>
                          </m:sSubPr>
                          <m:e>
                            <m:r>
                              <w:rPr>
                                <w:rFonts w:ascii="Cambria Math" w:hAnsi="Cambria Math" w:cs="Times New Roman"/>
                                <w:sz w:val="32"/>
                                <w:szCs w:val="32"/>
                              </w:rPr>
                              <m:t>A</m:t>
                            </m:r>
                          </m:e>
                          <m:sub>
                            <m:r>
                              <w:rPr>
                                <w:rFonts w:ascii="Cambria Math" w:hAnsi="Cambria Math" w:cs="Times New Roman"/>
                                <w:sz w:val="32"/>
                                <w:szCs w:val="32"/>
                              </w:rPr>
                              <m:t>L</m:t>
                            </m:r>
                          </m:sub>
                        </m:sSub>
                        <m:r>
                          <w:rPr>
                            <w:rFonts w:ascii="Cambria Math" w:hAnsi="Cambria Math" w:cs="Times New Roman"/>
                            <w:sz w:val="32"/>
                            <w:szCs w:val="32"/>
                          </w:rPr>
                          <m:t>L</m:t>
                        </m:r>
                      </m:e>
                    </m:d>
                  </m:e>
                  <m:sup>
                    <m:f>
                      <m:fPr>
                        <m:ctrlPr>
                          <w:rPr>
                            <w:rFonts w:ascii="Cambria Math" w:hAnsi="Cambria Math" w:cs="Times New Roman"/>
                            <w:i/>
                            <w:sz w:val="32"/>
                            <w:szCs w:val="32"/>
                          </w:rPr>
                        </m:ctrlPr>
                      </m:fPr>
                      <m:num>
                        <m:r>
                          <w:rPr>
                            <w:rFonts w:ascii="Cambria Math" w:hAnsi="Cambria Math" w:cs="Times New Roman"/>
                            <w:sz w:val="32"/>
                            <w:szCs w:val="32"/>
                          </w:rPr>
                          <m:t>σ-1</m:t>
                        </m:r>
                      </m:num>
                      <m:den>
                        <m:r>
                          <w:rPr>
                            <w:rFonts w:ascii="Cambria Math" w:hAnsi="Cambria Math" w:cs="Times New Roman"/>
                            <w:sz w:val="32"/>
                            <w:szCs w:val="32"/>
                          </w:rPr>
                          <m:t>σ</m:t>
                        </m:r>
                      </m:den>
                    </m:f>
                  </m:sup>
                </m:sSup>
                <m:r>
                  <w:rPr>
                    <w:rFonts w:ascii="Cambria Math" w:hAnsi="Cambria Math" w:cs="Times New Roman"/>
                    <w:sz w:val="32"/>
                    <w:szCs w:val="32"/>
                  </w:rPr>
                  <m:t xml:space="preserve">+ </m:t>
                </m:r>
                <m:sSup>
                  <m:sSupPr>
                    <m:ctrlPr>
                      <w:rPr>
                        <w:rFonts w:ascii="Cambria Math" w:hAnsi="Cambria Math" w:cs="Times New Roman"/>
                        <w:i/>
                        <w:sz w:val="32"/>
                        <w:szCs w:val="32"/>
                      </w:rPr>
                    </m:ctrlPr>
                  </m:sSupPr>
                  <m:e>
                    <m:d>
                      <m:dPr>
                        <m:ctrlPr>
                          <w:rPr>
                            <w:rFonts w:ascii="Cambria Math" w:hAnsi="Cambria Math" w:cs="Times New Roman"/>
                            <w:i/>
                            <w:sz w:val="32"/>
                            <w:szCs w:val="32"/>
                          </w:rPr>
                        </m:ctrlPr>
                      </m:dPr>
                      <m:e>
                        <m:sSub>
                          <m:sSubPr>
                            <m:ctrlPr>
                              <w:rPr>
                                <w:rFonts w:ascii="Cambria Math" w:hAnsi="Cambria Math" w:cs="Times New Roman"/>
                                <w:i/>
                                <w:sz w:val="32"/>
                                <w:szCs w:val="32"/>
                              </w:rPr>
                            </m:ctrlPr>
                          </m:sSubPr>
                          <m:e>
                            <m:r>
                              <w:rPr>
                                <w:rFonts w:ascii="Cambria Math" w:hAnsi="Cambria Math" w:cs="Times New Roman"/>
                                <w:sz w:val="32"/>
                                <w:szCs w:val="32"/>
                              </w:rPr>
                              <m:t>A</m:t>
                            </m:r>
                          </m:e>
                          <m:sub>
                            <m:r>
                              <w:rPr>
                                <w:rFonts w:ascii="Cambria Math" w:hAnsi="Cambria Math" w:cs="Times New Roman"/>
                                <w:sz w:val="32"/>
                                <w:szCs w:val="32"/>
                              </w:rPr>
                              <m:t>H</m:t>
                            </m:r>
                          </m:sub>
                        </m:sSub>
                        <m:r>
                          <w:rPr>
                            <w:rFonts w:ascii="Cambria Math" w:hAnsi="Cambria Math" w:cs="Times New Roman"/>
                            <w:sz w:val="32"/>
                            <w:szCs w:val="32"/>
                          </w:rPr>
                          <m:t>H</m:t>
                        </m:r>
                      </m:e>
                    </m:d>
                  </m:e>
                  <m:sup>
                    <m:f>
                      <m:fPr>
                        <m:ctrlPr>
                          <w:rPr>
                            <w:rFonts w:ascii="Cambria Math" w:hAnsi="Cambria Math" w:cs="Times New Roman"/>
                            <w:i/>
                            <w:sz w:val="32"/>
                            <w:szCs w:val="32"/>
                          </w:rPr>
                        </m:ctrlPr>
                      </m:fPr>
                      <m:num>
                        <m:r>
                          <w:rPr>
                            <w:rFonts w:ascii="Cambria Math" w:hAnsi="Cambria Math" w:cs="Times New Roman"/>
                            <w:sz w:val="32"/>
                            <w:szCs w:val="32"/>
                          </w:rPr>
                          <m:t>σ-1</m:t>
                        </m:r>
                      </m:num>
                      <m:den>
                        <m:r>
                          <w:rPr>
                            <w:rFonts w:ascii="Cambria Math" w:hAnsi="Cambria Math" w:cs="Times New Roman"/>
                            <w:sz w:val="32"/>
                            <w:szCs w:val="32"/>
                          </w:rPr>
                          <m:t>σ</m:t>
                        </m:r>
                      </m:den>
                    </m:f>
                  </m:sup>
                </m:sSup>
                <m:r>
                  <w:rPr>
                    <w:rFonts w:ascii="Cambria Math" w:hAnsi="Cambria Math" w:cs="Times New Roman"/>
                    <w:sz w:val="32"/>
                    <w:szCs w:val="32"/>
                  </w:rPr>
                  <m:t xml:space="preserve">  </m:t>
                </m:r>
              </m:e>
            </m:d>
          </m:e>
          <m:sup>
            <m:f>
              <m:fPr>
                <m:ctrlPr>
                  <w:rPr>
                    <w:rFonts w:ascii="Cambria Math" w:hAnsi="Cambria Math" w:cs="Times New Roman"/>
                    <w:i/>
                    <w:sz w:val="32"/>
                    <w:szCs w:val="32"/>
                  </w:rPr>
                </m:ctrlPr>
              </m:fPr>
              <m:num>
                <m:r>
                  <w:rPr>
                    <w:rFonts w:ascii="Cambria Math" w:hAnsi="Cambria Math" w:cs="Times New Roman"/>
                    <w:sz w:val="32"/>
                    <w:szCs w:val="32"/>
                  </w:rPr>
                  <m:t>σ</m:t>
                </m:r>
              </m:num>
              <m:den>
                <m:r>
                  <w:rPr>
                    <w:rFonts w:ascii="Cambria Math" w:hAnsi="Cambria Math" w:cs="Times New Roman"/>
                    <w:sz w:val="32"/>
                    <w:szCs w:val="32"/>
                  </w:rPr>
                  <m:t>σ-1</m:t>
                </m:r>
              </m:den>
            </m:f>
          </m:sup>
        </m:sSup>
      </m:oMath>
      <w:r>
        <w:rPr>
          <w:rFonts w:ascii="Times New Roman" w:eastAsiaTheme="minorEastAsia" w:hAnsi="Times New Roman" w:cs="Times New Roman"/>
          <w:sz w:val="32"/>
          <w:szCs w:val="32"/>
        </w:rPr>
        <w:t>,</w:t>
      </w:r>
    </w:p>
    <w:p w14:paraId="386A4E3E" w14:textId="77777777" w:rsidR="000F7C00" w:rsidRDefault="000F7C00" w:rsidP="000F7C00">
      <w:pPr>
        <w:rPr>
          <w:rFonts w:ascii="Times New Roman" w:hAnsi="Times New Roman" w:cs="Times New Roman"/>
          <w:sz w:val="24"/>
          <w:szCs w:val="24"/>
        </w:rPr>
      </w:pPr>
      <w:proofErr w:type="gramStart"/>
      <w:r>
        <w:rPr>
          <w:rFonts w:ascii="Times New Roman" w:hAnsi="Times New Roman" w:cs="Times New Roman"/>
          <w:sz w:val="24"/>
          <w:szCs w:val="24"/>
        </w:rPr>
        <w:t>w</w:t>
      </w:r>
      <w:r w:rsidRPr="00B20708">
        <w:rPr>
          <w:rFonts w:ascii="Times New Roman" w:hAnsi="Times New Roman" w:cs="Times New Roman"/>
          <w:sz w:val="24"/>
          <w:szCs w:val="24"/>
        </w:rPr>
        <w:t>here</w:t>
      </w:r>
      <w:proofErr w:type="gramEnd"/>
      <w:r w:rsidRPr="00B20708">
        <w:rPr>
          <w:rFonts w:ascii="Times New Roman" w:hAnsi="Times New Roman" w:cs="Times New Roman"/>
          <w:sz w:val="24"/>
          <w:szCs w:val="24"/>
        </w:rPr>
        <w:t xml:space="preserve"> </w:t>
      </w:r>
      <m:oMath>
        <m:r>
          <w:rPr>
            <w:rFonts w:ascii="Cambria Math" w:hAnsi="Cambria Math" w:cs="Times New Roman"/>
            <w:sz w:val="24"/>
            <w:szCs w:val="24"/>
          </w:rPr>
          <m:t>σ</m:t>
        </m:r>
      </m:oMath>
      <w:r>
        <w:rPr>
          <w:rFonts w:ascii="Times New Roman" w:eastAsiaTheme="minorEastAsia" w:hAnsi="Times New Roman" w:cs="Times New Roman"/>
          <w:sz w:val="24"/>
          <w:szCs w:val="24"/>
        </w:rPr>
        <w:t xml:space="preserve"> is the elasticity of substitution between high- and low-skill labor, and A</w:t>
      </w:r>
      <w:r>
        <w:rPr>
          <w:rFonts w:ascii="Times New Roman" w:eastAsiaTheme="minorEastAsia" w:hAnsi="Times New Roman" w:cs="Times New Roman"/>
          <w:sz w:val="24"/>
          <w:szCs w:val="24"/>
          <w:vertAlign w:val="subscript"/>
        </w:rPr>
        <w:t>L</w:t>
      </w:r>
      <w:r>
        <w:rPr>
          <w:rFonts w:ascii="Times New Roman" w:eastAsiaTheme="minorEastAsia" w:hAnsi="Times New Roman" w:cs="Times New Roman"/>
          <w:sz w:val="24"/>
          <w:szCs w:val="24"/>
        </w:rPr>
        <w:t xml:space="preserve"> and A</w:t>
      </w:r>
      <w:r>
        <w:rPr>
          <w:rFonts w:ascii="Times New Roman" w:eastAsiaTheme="minorEastAsia" w:hAnsi="Times New Roman" w:cs="Times New Roman"/>
          <w:sz w:val="24"/>
          <w:szCs w:val="24"/>
          <w:vertAlign w:val="subscript"/>
        </w:rPr>
        <w:t>H</w:t>
      </w:r>
      <w:r>
        <w:rPr>
          <w:rFonts w:ascii="Times New Roman" w:eastAsiaTheme="minorEastAsia" w:hAnsi="Times New Roman" w:cs="Times New Roman"/>
          <w:sz w:val="24"/>
          <w:szCs w:val="24"/>
        </w:rPr>
        <w:t xml:space="preserve"> are factor-augmenting technology terms. </w:t>
      </w:r>
      <w:r>
        <w:rPr>
          <w:rFonts w:ascii="Times New Roman" w:hAnsi="Times New Roman" w:cs="Times New Roman"/>
          <w:sz w:val="24"/>
          <w:szCs w:val="24"/>
        </w:rPr>
        <w:t xml:space="preserve">We can express the log wage premium as a function of relative supply and technology, </w:t>
      </w:r>
    </w:p>
    <w:p w14:paraId="6148696D" w14:textId="77777777" w:rsidR="000F7C00" w:rsidRPr="00167BFC" w:rsidRDefault="00B761B5" w:rsidP="000F7C00">
      <w:pPr>
        <w:rPr>
          <w:rFonts w:ascii="Times New Roman" w:hAnsi="Times New Roman" w:cs="Times New Roman"/>
          <w:sz w:val="28"/>
          <w:szCs w:val="28"/>
        </w:rPr>
      </w:pPr>
      <m:oMathPara>
        <m:oMath>
          <m:func>
            <m:funcPr>
              <m:ctrlPr>
                <w:rPr>
                  <w:rFonts w:ascii="Cambria Math" w:hAnsi="Cambria Math" w:cs="Times New Roman"/>
                  <w:i/>
                  <w:sz w:val="28"/>
                  <w:szCs w:val="28"/>
                </w:rPr>
              </m:ctrlPr>
            </m:funcPr>
            <m:fName>
              <m:r>
                <m:rPr>
                  <m:sty m:val="p"/>
                </m:rPr>
                <w:rPr>
                  <w:rFonts w:ascii="Cambria Math" w:hAnsi="Cambria Math" w:cs="Times New Roman"/>
                  <w:sz w:val="28"/>
                  <w:szCs w:val="28"/>
                </w:rPr>
                <m:t>ln</m:t>
              </m:r>
            </m:fName>
            <m:e>
              <m:sSub>
                <m:sSubPr>
                  <m:ctrlPr>
                    <w:rPr>
                      <w:rFonts w:ascii="Cambria Math" w:hAnsi="Cambria Math" w:cs="Times New Roman"/>
                      <w:iCs/>
                      <w:sz w:val="28"/>
                      <w:szCs w:val="28"/>
                    </w:rPr>
                  </m:ctrlPr>
                </m:sSubPr>
                <m:e>
                  <m:r>
                    <m:rPr>
                      <m:sty m:val="p"/>
                    </m:rPr>
                    <w:rPr>
                      <w:rFonts w:ascii="Cambria Math" w:hAnsi="Cambria Math" w:cs="Times New Roman"/>
                      <w:sz w:val="28"/>
                      <w:szCs w:val="28"/>
                    </w:rPr>
                    <m:t>w</m:t>
                  </m:r>
                </m:e>
                <m:sub>
                  <m:r>
                    <w:rPr>
                      <w:rFonts w:ascii="Cambria Math" w:hAnsi="Cambria Math" w:cs="Times New Roman"/>
                      <w:sz w:val="28"/>
                      <w:szCs w:val="28"/>
                    </w:rPr>
                    <m:t>1</m:t>
                  </m:r>
                </m:sub>
              </m:sSub>
            </m:e>
          </m:func>
          <m:r>
            <w:rPr>
              <w:rFonts w:ascii="Cambria Math" w:hAnsi="Cambria Math" w:cs="Times New Roman"/>
              <w:sz w:val="28"/>
              <w:szCs w:val="28"/>
            </w:rPr>
            <m:t>=</m:t>
          </m:r>
          <m:func>
            <m:funcPr>
              <m:ctrlPr>
                <w:rPr>
                  <w:rFonts w:ascii="Cambria Math" w:hAnsi="Cambria Math" w:cs="Times New Roman"/>
                  <w:i/>
                  <w:sz w:val="28"/>
                  <w:szCs w:val="28"/>
                </w:rPr>
              </m:ctrlPr>
            </m:funcPr>
            <m:fName>
              <m:r>
                <m:rPr>
                  <m:sty m:val="p"/>
                </m:rPr>
                <w:rPr>
                  <w:rFonts w:ascii="Cambria Math" w:hAnsi="Cambria Math" w:cs="Times New Roman"/>
                  <w:sz w:val="28"/>
                  <w:szCs w:val="28"/>
                </w:rPr>
                <m:t>ln</m:t>
              </m:r>
            </m:fName>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H</m:t>
                      </m:r>
                    </m:sub>
                  </m:sSub>
                </m:num>
                <m:den>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L</m:t>
                      </m:r>
                    </m:sub>
                  </m:sSub>
                </m:den>
              </m:f>
            </m:e>
          </m:func>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36"/>
                  <w:szCs w:val="36"/>
                </w:rPr>
                <m:t>σ-1</m:t>
              </m:r>
            </m:num>
            <m:den>
              <m:r>
                <w:rPr>
                  <w:rFonts w:ascii="Cambria Math" w:hAnsi="Cambria Math" w:cs="Times New Roman"/>
                  <w:sz w:val="36"/>
                  <w:szCs w:val="36"/>
                </w:rPr>
                <m:t>σ</m:t>
              </m:r>
            </m:den>
          </m:f>
          <m:r>
            <w:rPr>
              <w:rFonts w:ascii="Cambria Math" w:hAnsi="Cambria Math" w:cs="Times New Roman"/>
              <w:sz w:val="28"/>
              <w:szCs w:val="28"/>
            </w:rPr>
            <m:t>ln</m:t>
          </m:r>
          <m:d>
            <m:dPr>
              <m:ctrlPr>
                <w:rPr>
                  <w:rFonts w:ascii="Cambria Math" w:hAnsi="Cambria Math" w:cs="Times New Roman"/>
                  <w:i/>
                  <w:sz w:val="28"/>
                  <w:szCs w:val="28"/>
                </w:rPr>
              </m:ctrlPr>
            </m:dPr>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H</m:t>
                      </m:r>
                    </m:sub>
                  </m:sSub>
                </m:num>
                <m:den>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L</m:t>
                      </m:r>
                    </m:sub>
                  </m:sSub>
                </m:den>
              </m:f>
            </m:e>
          </m:d>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36"/>
                  <w:szCs w:val="36"/>
                </w:rPr>
                <m:t>σ</m:t>
              </m:r>
            </m:den>
          </m:f>
          <m:r>
            <w:rPr>
              <w:rFonts w:ascii="Cambria Math" w:hAnsi="Cambria Math" w:cs="Times New Roman"/>
              <w:sz w:val="28"/>
              <w:szCs w:val="28"/>
            </w:rPr>
            <m:t>ln</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H</m:t>
                  </m:r>
                </m:num>
                <m:den>
                  <m:r>
                    <w:rPr>
                      <w:rFonts w:ascii="Cambria Math" w:hAnsi="Cambria Math" w:cs="Times New Roman"/>
                      <w:sz w:val="28"/>
                      <w:szCs w:val="28"/>
                    </w:rPr>
                    <m:t>L</m:t>
                  </m:r>
                </m:den>
              </m:f>
            </m:e>
          </m:d>
          <m:r>
            <w:rPr>
              <w:rFonts w:ascii="Cambria Math" w:hAnsi="Cambria Math" w:cs="Times New Roman"/>
              <w:sz w:val="28"/>
              <w:szCs w:val="28"/>
            </w:rPr>
            <m:t>.</m:t>
          </m:r>
        </m:oMath>
      </m:oMathPara>
    </w:p>
    <w:p w14:paraId="320170B0" w14:textId="77777777" w:rsidR="000F7C00" w:rsidRDefault="000F7C00" w:rsidP="000F7C00">
      <w:pPr>
        <w:rPr>
          <w:rFonts w:ascii="Times New Roman" w:hAnsi="Times New Roman" w:cs="Times New Roman"/>
          <w:sz w:val="24"/>
          <w:szCs w:val="24"/>
        </w:rPr>
      </w:pPr>
      <w:r>
        <w:rPr>
          <w:rFonts w:ascii="Times New Roman" w:hAnsi="Times New Roman" w:cs="Times New Roman"/>
          <w:sz w:val="24"/>
          <w:szCs w:val="24"/>
        </w:rPr>
        <w:t>Allowing for a log-linear time trend for demand of skills, we can then estimate the following equation:</w:t>
      </w:r>
    </w:p>
    <w:p w14:paraId="7C4CCD9A" w14:textId="77777777" w:rsidR="000F7C00" w:rsidRDefault="00B761B5" w:rsidP="000F7C00">
      <w:pPr>
        <w:rPr>
          <w:rFonts w:ascii="Times New Roman" w:eastAsiaTheme="minorEastAsia" w:hAnsi="Times New Roman" w:cs="Times New Roman"/>
          <w:sz w:val="28"/>
          <w:szCs w:val="28"/>
        </w:rPr>
      </w:pPr>
      <m:oMathPara>
        <m:oMath>
          <m:eqArr>
            <m:eqArrPr>
              <m:maxDist m:val="1"/>
              <m:ctrlPr>
                <w:rPr>
                  <w:rFonts w:ascii="Cambria Math" w:hAnsi="Cambria Math" w:cs="Times New Roman"/>
                  <w:i/>
                  <w:sz w:val="28"/>
                  <w:szCs w:val="28"/>
                </w:rPr>
              </m:ctrlPr>
            </m:eqArrPr>
            <m:e>
              <m:func>
                <m:funcPr>
                  <m:ctrlPr>
                    <w:rPr>
                      <w:rFonts w:ascii="Cambria Math" w:hAnsi="Cambria Math" w:cs="Times New Roman"/>
                      <w:i/>
                      <w:sz w:val="28"/>
                      <w:szCs w:val="28"/>
                    </w:rPr>
                  </m:ctrlPr>
                </m:funcPr>
                <m:fName>
                  <m:r>
                    <m:rPr>
                      <m:sty m:val="p"/>
                    </m:rPr>
                    <w:rPr>
                      <w:rFonts w:ascii="Cambria Math" w:hAnsi="Cambria Math" w:cs="Times New Roman"/>
                      <w:sz w:val="28"/>
                      <w:szCs w:val="28"/>
                    </w:rPr>
                    <m:t>ln</m:t>
                  </m:r>
                </m:fName>
                <m:e>
                  <m:sSub>
                    <m:sSubPr>
                      <m:ctrlPr>
                        <w:rPr>
                          <w:rFonts w:ascii="Cambria Math" w:hAnsi="Cambria Math" w:cs="Times New Roman"/>
                          <w:iCs/>
                          <w:sz w:val="28"/>
                          <w:szCs w:val="28"/>
                        </w:rPr>
                      </m:ctrlPr>
                    </m:sSubPr>
                    <m:e>
                      <m:r>
                        <m:rPr>
                          <m:sty m:val="p"/>
                        </m:rPr>
                        <w:rPr>
                          <w:rFonts w:ascii="Cambria Math" w:hAnsi="Cambria Math" w:cs="Times New Roman"/>
                          <w:sz w:val="28"/>
                          <w:szCs w:val="28"/>
                        </w:rPr>
                        <m:t>w</m:t>
                      </m:r>
                    </m:e>
                    <m:sub>
                      <m:r>
                        <w:rPr>
                          <w:rFonts w:ascii="Cambria Math" w:hAnsi="Cambria Math" w:cs="Times New Roman"/>
                          <w:sz w:val="28"/>
                          <w:szCs w:val="28"/>
                        </w:rPr>
                        <m:t>1</m:t>
                      </m:r>
                    </m:sub>
                  </m:sSub>
                </m:e>
              </m:func>
              <m:r>
                <w:rPr>
                  <w:rFonts w:ascii="Cambria Math" w:hAnsi="Cambria Math" w:cs="Times New Roman"/>
                  <w:sz w:val="28"/>
                  <w:szCs w:val="28"/>
                </w:rPr>
                <m:t>=</m:t>
              </m:r>
              <m:func>
                <m:funcPr>
                  <m:ctrlPr>
                    <w:rPr>
                      <w:rFonts w:ascii="Cambria Math" w:hAnsi="Cambria Math" w:cs="Times New Roman"/>
                      <w:i/>
                      <w:sz w:val="28"/>
                      <w:szCs w:val="28"/>
                    </w:rPr>
                  </m:ctrlPr>
                </m:funcPr>
                <m:fName>
                  <m:r>
                    <m:rPr>
                      <m:sty m:val="p"/>
                    </m:rPr>
                    <w:rPr>
                      <w:rFonts w:ascii="Cambria Math" w:hAnsi="Cambria Math" w:cs="Times New Roman"/>
                      <w:sz w:val="28"/>
                      <w:szCs w:val="28"/>
                    </w:rPr>
                    <m:t>ln</m:t>
                  </m:r>
                </m:fName>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H</m:t>
                          </m:r>
                        </m:sub>
                      </m:sSub>
                    </m:num>
                    <m:den>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L</m:t>
                          </m:r>
                        </m:sub>
                      </m:sSub>
                    </m:den>
                  </m:f>
                </m:e>
              </m:func>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36"/>
                      <w:szCs w:val="36"/>
                    </w:rPr>
                    <m:t>σ-1</m:t>
                  </m:r>
                </m:num>
                <m:den>
                  <m:r>
                    <w:rPr>
                      <w:rFonts w:ascii="Cambria Math" w:hAnsi="Cambria Math" w:cs="Times New Roman"/>
                      <w:sz w:val="36"/>
                      <w:szCs w:val="36"/>
                    </w:rPr>
                    <m:t>σ</m:t>
                  </m:r>
                </m:den>
              </m:f>
              <m:sSub>
                <m:sSubPr>
                  <m:ctrlPr>
                    <w:rPr>
                      <w:rFonts w:ascii="Cambria Math" w:hAnsi="Cambria Math" w:cs="Times New Roman"/>
                      <w:i/>
                      <w:sz w:val="28"/>
                      <w:szCs w:val="28"/>
                    </w:rPr>
                  </m:ctrlPr>
                </m:sSubPr>
                <m:e>
                  <m:r>
                    <w:rPr>
                      <w:rFonts w:ascii="Cambria Math" w:hAnsi="Cambria Math" w:cs="Times New Roman"/>
                      <w:sz w:val="28"/>
                      <w:szCs w:val="28"/>
                    </w:rPr>
                    <m:t>γ</m:t>
                  </m:r>
                </m:e>
                <m:sub>
                  <m:r>
                    <w:rPr>
                      <w:rFonts w:ascii="Cambria Math" w:hAnsi="Cambria Math" w:cs="Times New Roman"/>
                      <w:sz w:val="28"/>
                      <w:szCs w:val="28"/>
                    </w:rPr>
                    <m:t>0</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36"/>
                      <w:szCs w:val="36"/>
                    </w:rPr>
                    <m:t>σ-1</m:t>
                  </m:r>
                </m:num>
                <m:den>
                  <m:r>
                    <w:rPr>
                      <w:rFonts w:ascii="Cambria Math" w:hAnsi="Cambria Math" w:cs="Times New Roman"/>
                      <w:sz w:val="36"/>
                      <w:szCs w:val="36"/>
                    </w:rPr>
                    <m:t>σ</m:t>
                  </m:r>
                </m:den>
              </m:f>
              <m:sSub>
                <m:sSubPr>
                  <m:ctrlPr>
                    <w:rPr>
                      <w:rFonts w:ascii="Cambria Math" w:hAnsi="Cambria Math" w:cs="Times New Roman"/>
                      <w:i/>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 xml:space="preserve">t -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36"/>
                      <w:szCs w:val="36"/>
                    </w:rPr>
                    <m:t>σ</m:t>
                  </m:r>
                </m:den>
              </m:f>
              <m:r>
                <w:rPr>
                  <w:rFonts w:ascii="Cambria Math" w:hAnsi="Cambria Math" w:cs="Times New Roman"/>
                  <w:sz w:val="28"/>
                  <w:szCs w:val="28"/>
                </w:rPr>
                <m:t>ln</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H</m:t>
                      </m:r>
                    </m:num>
                    <m:den>
                      <m:r>
                        <w:rPr>
                          <w:rFonts w:ascii="Cambria Math" w:hAnsi="Cambria Math" w:cs="Times New Roman"/>
                          <w:sz w:val="28"/>
                          <w:szCs w:val="28"/>
                        </w:rPr>
                        <m:t>L</m:t>
                      </m:r>
                    </m:den>
                  </m:f>
                </m:e>
              </m:d>
              <m:r>
                <w:rPr>
                  <w:rFonts w:ascii="Cambria Math" w:hAnsi="Cambria Math" w:cs="Times New Roman"/>
                  <w:sz w:val="28"/>
                  <w:szCs w:val="28"/>
                </w:rPr>
                <m:t xml:space="preserve"> .                             </m:t>
              </m:r>
              <m:d>
                <m:dPr>
                  <m:ctrlPr>
                    <w:rPr>
                      <w:rFonts w:ascii="Cambria Math" w:hAnsi="Cambria Math" w:cs="Times New Roman"/>
                      <w:i/>
                      <w:sz w:val="28"/>
                      <w:szCs w:val="28"/>
                    </w:rPr>
                  </m:ctrlPr>
                </m:dPr>
                <m:e>
                  <m:r>
                    <w:rPr>
                      <w:rFonts w:ascii="Cambria Math" w:hAnsi="Cambria Math" w:cs="Times New Roman"/>
                      <w:sz w:val="28"/>
                      <w:szCs w:val="28"/>
                    </w:rPr>
                    <m:t>1</m:t>
                  </m:r>
                </m:e>
              </m:d>
            </m:e>
          </m:eqArr>
        </m:oMath>
      </m:oMathPara>
    </w:p>
    <w:p w14:paraId="29787998" w14:textId="77777777" w:rsidR="000F7C00" w:rsidRDefault="000F7C00" w:rsidP="000F7C00">
      <w:pPr>
        <w:rPr>
          <w:rFonts w:ascii="Times New Roman" w:hAnsi="Times New Roman" w:cs="Times New Roman"/>
          <w:sz w:val="24"/>
          <w:szCs w:val="24"/>
        </w:rPr>
      </w:pPr>
      <w:r>
        <w:rPr>
          <w:rFonts w:ascii="Times New Roman" w:hAnsi="Times New Roman" w:cs="Times New Roman"/>
          <w:sz w:val="24"/>
          <w:szCs w:val="24"/>
        </w:rPr>
        <w:t xml:space="preserve">The resulting coefficient on the relative supply term (from the above log-log specification) measures what percent the wage premium will fall for a given percent increase in the relative supply of BA holders. </w:t>
      </w:r>
    </w:p>
    <w:p w14:paraId="0DDD7E62" w14:textId="77777777" w:rsidR="000F7C00" w:rsidRDefault="000F7C00" w:rsidP="000F7C00">
      <w:pPr>
        <w:spacing w:after="0"/>
        <w:rPr>
          <w:rFonts w:ascii="Times New Roman" w:hAnsi="Times New Roman" w:cs="Times New Roman"/>
          <w:b/>
          <w:bCs/>
          <w:sz w:val="24"/>
          <w:szCs w:val="24"/>
        </w:rPr>
      </w:pPr>
    </w:p>
    <w:p w14:paraId="054637FE" w14:textId="77777777" w:rsidR="000F7C00" w:rsidRPr="0095311B" w:rsidRDefault="000F7C00" w:rsidP="000F7C00">
      <w:pPr>
        <w:spacing w:after="0"/>
        <w:rPr>
          <w:rFonts w:ascii="Times New Roman" w:hAnsi="Times New Roman" w:cs="Times New Roman"/>
          <w:b/>
          <w:bCs/>
          <w:sz w:val="24"/>
          <w:szCs w:val="24"/>
        </w:rPr>
      </w:pPr>
      <w:r>
        <w:rPr>
          <w:rFonts w:ascii="Times New Roman" w:hAnsi="Times New Roman" w:cs="Times New Roman"/>
          <w:b/>
          <w:bCs/>
          <w:sz w:val="24"/>
          <w:szCs w:val="24"/>
        </w:rPr>
        <w:t>AA/HS Elasticity of Substitution</w:t>
      </w:r>
    </w:p>
    <w:p w14:paraId="71DEBC33" w14:textId="77777777" w:rsidR="000F7C00" w:rsidRDefault="000F7C00" w:rsidP="000F7C00">
      <w:pPr>
        <w:rPr>
          <w:rFonts w:ascii="Times New Roman" w:hAnsi="Times New Roman" w:cs="Times New Roman"/>
          <w:sz w:val="24"/>
          <w:szCs w:val="24"/>
        </w:rPr>
      </w:pPr>
      <w:r>
        <w:rPr>
          <w:rFonts w:ascii="Times New Roman" w:hAnsi="Times New Roman" w:cs="Times New Roman"/>
          <w:sz w:val="24"/>
          <w:szCs w:val="24"/>
        </w:rPr>
        <w:t xml:space="preserve">To estimate the analogous relative supply effects for a change in the AA/HS relative supply, we amend the above two-factor production function to allow for a nest within the “low-skill” input: Associate Degree holders (M) and those with a high school degree (L). </w:t>
      </w:r>
    </w:p>
    <w:p w14:paraId="08E6E1D3" w14:textId="77777777" w:rsidR="000F7C00" w:rsidRDefault="000F7C00" w:rsidP="000F7C00">
      <w:pPr>
        <w:jc w:val="center"/>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32"/>
            <w:szCs w:val="32"/>
          </w:rPr>
          <m:t xml:space="preserve">Y= </m:t>
        </m:r>
        <m:sSup>
          <m:sSupPr>
            <m:ctrlPr>
              <w:rPr>
                <w:rFonts w:ascii="Cambria Math" w:hAnsi="Cambria Math" w:cs="Times New Roman"/>
                <w:i/>
                <w:sz w:val="32"/>
                <w:szCs w:val="32"/>
              </w:rPr>
            </m:ctrlPr>
          </m:sSupPr>
          <m:e>
            <m:r>
              <w:rPr>
                <w:rFonts w:ascii="Cambria Math" w:hAnsi="Cambria Math" w:cs="Times New Roman"/>
                <w:sz w:val="32"/>
                <w:szCs w:val="32"/>
              </w:rPr>
              <m:t xml:space="preserve"> </m:t>
            </m:r>
            <m:d>
              <m:dPr>
                <m:begChr m:val="["/>
                <m:endChr m:val="]"/>
                <m:ctrlPr>
                  <w:rPr>
                    <w:rFonts w:ascii="Cambria Math" w:hAnsi="Cambria Math" w:cs="Times New Roman"/>
                    <w:i/>
                    <w:sz w:val="32"/>
                    <w:szCs w:val="32"/>
                  </w:rPr>
                </m:ctrlPr>
              </m:dPr>
              <m:e>
                <m:sSup>
                  <m:sSupPr>
                    <m:ctrlPr>
                      <w:rPr>
                        <w:rFonts w:ascii="Cambria Math" w:hAnsi="Cambria Math" w:cs="Times New Roman"/>
                        <w:i/>
                        <w:sz w:val="32"/>
                        <w:szCs w:val="32"/>
                      </w:rPr>
                    </m:ctrlPr>
                  </m:sSupPr>
                  <m:e>
                    <m:d>
                      <m:dPr>
                        <m:ctrlPr>
                          <w:rPr>
                            <w:rFonts w:ascii="Cambria Math" w:hAnsi="Cambria Math" w:cs="Times New Roman"/>
                            <w:i/>
                            <w:sz w:val="32"/>
                            <w:szCs w:val="32"/>
                          </w:rPr>
                        </m:ctrlPr>
                      </m:dPr>
                      <m:e>
                        <m:sSub>
                          <m:sSubPr>
                            <m:ctrlPr>
                              <w:rPr>
                                <w:rFonts w:ascii="Cambria Math" w:hAnsi="Cambria Math" w:cs="Times New Roman"/>
                                <w:i/>
                                <w:sz w:val="32"/>
                                <w:szCs w:val="32"/>
                              </w:rPr>
                            </m:ctrlPr>
                          </m:sSubPr>
                          <m:e>
                            <m:r>
                              <w:rPr>
                                <w:rFonts w:ascii="Cambria Math" w:hAnsi="Cambria Math" w:cs="Times New Roman"/>
                                <w:sz w:val="32"/>
                                <w:szCs w:val="32"/>
                              </w:rPr>
                              <m:t>A</m:t>
                            </m:r>
                          </m:e>
                          <m:sub>
                            <m:r>
                              <w:rPr>
                                <w:rFonts w:ascii="Cambria Math" w:hAnsi="Cambria Math" w:cs="Times New Roman"/>
                                <w:sz w:val="32"/>
                                <w:szCs w:val="32"/>
                              </w:rPr>
                              <m:t>L</m:t>
                            </m:r>
                          </m:sub>
                        </m:sSub>
                        <m:sSup>
                          <m:sSupPr>
                            <m:ctrlPr>
                              <w:rPr>
                                <w:rFonts w:ascii="Cambria Math" w:hAnsi="Cambria Math" w:cs="Times New Roman"/>
                                <w:i/>
                                <w:sz w:val="32"/>
                                <w:szCs w:val="32"/>
                              </w:rPr>
                            </m:ctrlPr>
                          </m:sSupPr>
                          <m:e>
                            <m:d>
                              <m:dPr>
                                <m:ctrlPr>
                                  <w:rPr>
                                    <w:rFonts w:ascii="Cambria Math" w:hAnsi="Cambria Math" w:cs="Times New Roman"/>
                                    <w:i/>
                                    <w:sz w:val="32"/>
                                    <w:szCs w:val="32"/>
                                  </w:rPr>
                                </m:ctrlPr>
                              </m:dPr>
                              <m:e>
                                <m:r>
                                  <w:rPr>
                                    <w:rFonts w:ascii="Cambria Math" w:hAnsi="Cambria Math" w:cs="Times New Roman"/>
                                    <w:sz w:val="32"/>
                                    <w:szCs w:val="32"/>
                                  </w:rPr>
                                  <m:t>α</m:t>
                                </m:r>
                                <m:sSup>
                                  <m:sSupPr>
                                    <m:ctrlPr>
                                      <w:rPr>
                                        <w:rFonts w:ascii="Cambria Math" w:hAnsi="Cambria Math" w:cs="Times New Roman"/>
                                        <w:i/>
                                        <w:sz w:val="32"/>
                                        <w:szCs w:val="32"/>
                                      </w:rPr>
                                    </m:ctrlPr>
                                  </m:sSupPr>
                                  <m:e>
                                    <m:r>
                                      <w:rPr>
                                        <w:rFonts w:ascii="Cambria Math" w:hAnsi="Cambria Math" w:cs="Times New Roman"/>
                                        <w:sz w:val="32"/>
                                        <w:szCs w:val="32"/>
                                      </w:rPr>
                                      <m:t>L</m:t>
                                    </m:r>
                                  </m:e>
                                  <m:sup>
                                    <m:f>
                                      <m:fPr>
                                        <m:ctrlPr>
                                          <w:rPr>
                                            <w:rFonts w:ascii="Cambria Math" w:hAnsi="Cambria Math" w:cs="Times New Roman"/>
                                            <w:i/>
                                            <w:sz w:val="32"/>
                                            <w:szCs w:val="32"/>
                                          </w:rPr>
                                        </m:ctrlPr>
                                      </m:fPr>
                                      <m:num>
                                        <m:r>
                                          <w:rPr>
                                            <w:rFonts w:ascii="Cambria Math" w:hAnsi="Cambria Math" w:cs="Times New Roman"/>
                                            <w:sz w:val="32"/>
                                            <w:szCs w:val="32"/>
                                          </w:rPr>
                                          <m:t>η-1</m:t>
                                        </m:r>
                                      </m:num>
                                      <m:den>
                                        <m:r>
                                          <w:rPr>
                                            <w:rFonts w:ascii="Cambria Math" w:hAnsi="Cambria Math" w:cs="Times New Roman"/>
                                            <w:sz w:val="32"/>
                                            <w:szCs w:val="32"/>
                                          </w:rPr>
                                          <m:t>η</m:t>
                                        </m:r>
                                      </m:den>
                                    </m:f>
                                  </m:sup>
                                </m:sSup>
                                <m:r>
                                  <w:rPr>
                                    <w:rFonts w:ascii="Cambria Math" w:hAnsi="Cambria Math" w:cs="Times New Roman"/>
                                    <w:sz w:val="32"/>
                                    <w:szCs w:val="32"/>
                                  </w:rPr>
                                  <m:t>+ β</m:t>
                                </m:r>
                                <m:sSup>
                                  <m:sSupPr>
                                    <m:ctrlPr>
                                      <w:rPr>
                                        <w:rFonts w:ascii="Cambria Math" w:hAnsi="Cambria Math" w:cs="Times New Roman"/>
                                        <w:i/>
                                        <w:sz w:val="32"/>
                                        <w:szCs w:val="32"/>
                                      </w:rPr>
                                    </m:ctrlPr>
                                  </m:sSupPr>
                                  <m:e>
                                    <m:r>
                                      <w:rPr>
                                        <w:rFonts w:ascii="Cambria Math" w:hAnsi="Cambria Math" w:cs="Times New Roman"/>
                                        <w:sz w:val="32"/>
                                        <w:szCs w:val="32"/>
                                      </w:rPr>
                                      <m:t>M</m:t>
                                    </m:r>
                                  </m:e>
                                  <m:sup>
                                    <m:f>
                                      <m:fPr>
                                        <m:ctrlPr>
                                          <w:rPr>
                                            <w:rFonts w:ascii="Cambria Math" w:hAnsi="Cambria Math" w:cs="Times New Roman"/>
                                            <w:i/>
                                            <w:sz w:val="32"/>
                                            <w:szCs w:val="32"/>
                                          </w:rPr>
                                        </m:ctrlPr>
                                      </m:fPr>
                                      <m:num>
                                        <m:r>
                                          <w:rPr>
                                            <w:rFonts w:ascii="Cambria Math" w:hAnsi="Cambria Math" w:cs="Times New Roman"/>
                                            <w:sz w:val="32"/>
                                            <w:szCs w:val="32"/>
                                          </w:rPr>
                                          <m:t>η-1</m:t>
                                        </m:r>
                                      </m:num>
                                      <m:den>
                                        <m:r>
                                          <w:rPr>
                                            <w:rFonts w:ascii="Cambria Math" w:hAnsi="Cambria Math" w:cs="Times New Roman"/>
                                            <w:sz w:val="32"/>
                                            <w:szCs w:val="32"/>
                                          </w:rPr>
                                          <m:t>η</m:t>
                                        </m:r>
                                      </m:den>
                                    </m:f>
                                  </m:sup>
                                </m:sSup>
                              </m:e>
                            </m:d>
                          </m:e>
                          <m:sup>
                            <m:f>
                              <m:fPr>
                                <m:ctrlPr>
                                  <w:rPr>
                                    <w:rFonts w:ascii="Cambria Math" w:hAnsi="Cambria Math" w:cs="Times New Roman"/>
                                    <w:i/>
                                    <w:sz w:val="32"/>
                                    <w:szCs w:val="32"/>
                                  </w:rPr>
                                </m:ctrlPr>
                              </m:fPr>
                              <m:num>
                                <m:r>
                                  <w:rPr>
                                    <w:rFonts w:ascii="Cambria Math" w:hAnsi="Cambria Math" w:cs="Times New Roman"/>
                                    <w:sz w:val="32"/>
                                    <w:szCs w:val="32"/>
                                  </w:rPr>
                                  <m:t>η</m:t>
                                </m:r>
                              </m:num>
                              <m:den>
                                <m:r>
                                  <w:rPr>
                                    <w:rFonts w:ascii="Cambria Math" w:hAnsi="Cambria Math" w:cs="Times New Roman"/>
                                    <w:sz w:val="32"/>
                                    <w:szCs w:val="32"/>
                                  </w:rPr>
                                  <m:t>η-1</m:t>
                                </m:r>
                              </m:den>
                            </m:f>
                          </m:sup>
                        </m:sSup>
                      </m:e>
                    </m:d>
                  </m:e>
                  <m:sup>
                    <m:f>
                      <m:fPr>
                        <m:ctrlPr>
                          <w:rPr>
                            <w:rFonts w:ascii="Cambria Math" w:hAnsi="Cambria Math" w:cs="Times New Roman"/>
                            <w:i/>
                            <w:sz w:val="32"/>
                            <w:szCs w:val="32"/>
                          </w:rPr>
                        </m:ctrlPr>
                      </m:fPr>
                      <m:num>
                        <m:r>
                          <w:rPr>
                            <w:rFonts w:ascii="Cambria Math" w:hAnsi="Cambria Math" w:cs="Times New Roman"/>
                            <w:sz w:val="32"/>
                            <w:szCs w:val="32"/>
                          </w:rPr>
                          <m:t>ρ-1</m:t>
                        </m:r>
                      </m:num>
                      <m:den>
                        <m:r>
                          <w:rPr>
                            <w:rFonts w:ascii="Cambria Math" w:hAnsi="Cambria Math" w:cs="Times New Roman"/>
                            <w:sz w:val="32"/>
                            <w:szCs w:val="32"/>
                          </w:rPr>
                          <m:t>ρ</m:t>
                        </m:r>
                      </m:den>
                    </m:f>
                  </m:sup>
                </m:sSup>
                <m:r>
                  <w:rPr>
                    <w:rFonts w:ascii="Cambria Math" w:hAnsi="Cambria Math" w:cs="Times New Roman"/>
                    <w:sz w:val="32"/>
                    <w:szCs w:val="32"/>
                  </w:rPr>
                  <m:t xml:space="preserve">+ </m:t>
                </m:r>
                <m:sSup>
                  <m:sSupPr>
                    <m:ctrlPr>
                      <w:rPr>
                        <w:rFonts w:ascii="Cambria Math" w:hAnsi="Cambria Math" w:cs="Times New Roman"/>
                        <w:i/>
                        <w:sz w:val="32"/>
                        <w:szCs w:val="32"/>
                      </w:rPr>
                    </m:ctrlPr>
                  </m:sSupPr>
                  <m:e>
                    <m:d>
                      <m:dPr>
                        <m:ctrlPr>
                          <w:rPr>
                            <w:rFonts w:ascii="Cambria Math" w:hAnsi="Cambria Math" w:cs="Times New Roman"/>
                            <w:i/>
                            <w:sz w:val="32"/>
                            <w:szCs w:val="32"/>
                          </w:rPr>
                        </m:ctrlPr>
                      </m:dPr>
                      <m:e>
                        <m:sSub>
                          <m:sSubPr>
                            <m:ctrlPr>
                              <w:rPr>
                                <w:rFonts w:ascii="Cambria Math" w:hAnsi="Cambria Math" w:cs="Times New Roman"/>
                                <w:i/>
                                <w:sz w:val="32"/>
                                <w:szCs w:val="32"/>
                              </w:rPr>
                            </m:ctrlPr>
                          </m:sSubPr>
                          <m:e>
                            <m:r>
                              <w:rPr>
                                <w:rFonts w:ascii="Cambria Math" w:hAnsi="Cambria Math" w:cs="Times New Roman"/>
                                <w:sz w:val="32"/>
                                <w:szCs w:val="32"/>
                              </w:rPr>
                              <m:t>A</m:t>
                            </m:r>
                          </m:e>
                          <m:sub>
                            <m:r>
                              <w:rPr>
                                <w:rFonts w:ascii="Cambria Math" w:hAnsi="Cambria Math" w:cs="Times New Roman"/>
                                <w:sz w:val="32"/>
                                <w:szCs w:val="32"/>
                              </w:rPr>
                              <m:t>H</m:t>
                            </m:r>
                          </m:sub>
                        </m:sSub>
                        <m:r>
                          <w:rPr>
                            <w:rFonts w:ascii="Cambria Math" w:hAnsi="Cambria Math" w:cs="Times New Roman"/>
                            <w:sz w:val="32"/>
                            <w:szCs w:val="32"/>
                          </w:rPr>
                          <m:t>H</m:t>
                        </m:r>
                      </m:e>
                    </m:d>
                  </m:e>
                  <m:sup>
                    <m:f>
                      <m:fPr>
                        <m:ctrlPr>
                          <w:rPr>
                            <w:rFonts w:ascii="Cambria Math" w:hAnsi="Cambria Math" w:cs="Times New Roman"/>
                            <w:i/>
                            <w:sz w:val="32"/>
                            <w:szCs w:val="32"/>
                          </w:rPr>
                        </m:ctrlPr>
                      </m:fPr>
                      <m:num>
                        <m:r>
                          <w:rPr>
                            <w:rFonts w:ascii="Cambria Math" w:hAnsi="Cambria Math" w:cs="Times New Roman"/>
                            <w:sz w:val="32"/>
                            <w:szCs w:val="32"/>
                          </w:rPr>
                          <m:t>ρ-1</m:t>
                        </m:r>
                      </m:num>
                      <m:den>
                        <m:r>
                          <w:rPr>
                            <w:rFonts w:ascii="Cambria Math" w:hAnsi="Cambria Math" w:cs="Times New Roman"/>
                            <w:sz w:val="32"/>
                            <w:szCs w:val="32"/>
                          </w:rPr>
                          <m:t>ρ</m:t>
                        </m:r>
                      </m:den>
                    </m:f>
                  </m:sup>
                </m:sSup>
                <m:r>
                  <w:rPr>
                    <w:rFonts w:ascii="Cambria Math" w:hAnsi="Cambria Math" w:cs="Times New Roman"/>
                    <w:sz w:val="32"/>
                    <w:szCs w:val="32"/>
                  </w:rPr>
                  <m:t xml:space="preserve">  </m:t>
                </m:r>
              </m:e>
            </m:d>
          </m:e>
          <m:sup>
            <m:f>
              <m:fPr>
                <m:ctrlPr>
                  <w:rPr>
                    <w:rFonts w:ascii="Cambria Math" w:hAnsi="Cambria Math" w:cs="Times New Roman"/>
                    <w:i/>
                    <w:sz w:val="32"/>
                    <w:szCs w:val="32"/>
                  </w:rPr>
                </m:ctrlPr>
              </m:fPr>
              <m:num>
                <m:r>
                  <w:rPr>
                    <w:rFonts w:ascii="Cambria Math" w:hAnsi="Cambria Math" w:cs="Times New Roman"/>
                    <w:sz w:val="32"/>
                    <w:szCs w:val="32"/>
                  </w:rPr>
                  <m:t>ρ</m:t>
                </m:r>
              </m:num>
              <m:den>
                <m:r>
                  <w:rPr>
                    <w:rFonts w:ascii="Cambria Math" w:hAnsi="Cambria Math" w:cs="Times New Roman"/>
                    <w:sz w:val="32"/>
                    <w:szCs w:val="32"/>
                  </w:rPr>
                  <m:t>ρ-1</m:t>
                </m:r>
              </m:den>
            </m:f>
          </m:sup>
        </m:sSup>
      </m:oMath>
      <w:r>
        <w:rPr>
          <w:rFonts w:ascii="Times New Roman" w:eastAsiaTheme="minorEastAsia" w:hAnsi="Times New Roman" w:cs="Times New Roman"/>
          <w:sz w:val="32"/>
          <w:szCs w:val="32"/>
        </w:rPr>
        <w:t>,</w:t>
      </w:r>
    </w:p>
    <w:p w14:paraId="1C720158" w14:textId="77777777" w:rsidR="000F7C00" w:rsidRDefault="000F7C00" w:rsidP="000F7C00">
      <w:pPr>
        <w:rPr>
          <w:rFonts w:ascii="Times New Roman" w:hAnsi="Times New Roman" w:cs="Times New Roman"/>
          <w:sz w:val="24"/>
          <w:szCs w:val="24"/>
        </w:rPr>
      </w:pPr>
      <w:proofErr w:type="gramStart"/>
      <w:r>
        <w:rPr>
          <w:rFonts w:ascii="Times New Roman" w:hAnsi="Times New Roman" w:cs="Times New Roman"/>
          <w:sz w:val="24"/>
          <w:szCs w:val="24"/>
        </w:rPr>
        <w:t>w</w:t>
      </w:r>
      <w:r w:rsidRPr="00B20708">
        <w:rPr>
          <w:rFonts w:ascii="Times New Roman" w:hAnsi="Times New Roman" w:cs="Times New Roman"/>
          <w:sz w:val="24"/>
          <w:szCs w:val="24"/>
        </w:rPr>
        <w:t>here</w:t>
      </w:r>
      <w:proofErr w:type="gramEnd"/>
      <w:r>
        <w:rPr>
          <w:rFonts w:ascii="Times New Roman" w:hAnsi="Times New Roman" w:cs="Times New Roman"/>
          <w:sz w:val="24"/>
          <w:szCs w:val="24"/>
        </w:rPr>
        <w:t xml:space="preserve"> now</w:t>
      </w:r>
      <w:r w:rsidRPr="00B20708">
        <w:rPr>
          <w:rFonts w:ascii="Times New Roman" w:hAnsi="Times New Roman" w:cs="Times New Roman"/>
          <w:sz w:val="24"/>
          <w:szCs w:val="24"/>
        </w:rPr>
        <w:t xml:space="preserve"> </w:t>
      </w:r>
      <w:r>
        <w:rPr>
          <w:rFonts w:ascii="Times New Roman" w:hAnsi="Times New Roman" w:cs="Times New Roman"/>
          <w:sz w:val="24"/>
          <w:szCs w:val="24"/>
        </w:rPr>
        <w:t xml:space="preserve">ρ </w:t>
      </w:r>
      <w:r>
        <w:rPr>
          <w:rFonts w:ascii="Times New Roman" w:eastAsiaTheme="minorEastAsia" w:hAnsi="Times New Roman" w:cs="Times New Roman"/>
          <w:sz w:val="24"/>
          <w:szCs w:val="24"/>
        </w:rPr>
        <w:t xml:space="preserve">is the elasticity of substitution between high- and low-skill labor, </w:t>
      </w:r>
      <w:r>
        <w:rPr>
          <w:rFonts w:ascii="Times New Roman" w:hAnsi="Times New Roman" w:cs="Times New Roman"/>
          <w:sz w:val="24"/>
          <w:szCs w:val="24"/>
        </w:rPr>
        <w:t>η measures the elasticity with the low-skill labor nest,</w:t>
      </w:r>
      <w:r>
        <w:rPr>
          <w:rFonts w:ascii="Times New Roman" w:eastAsiaTheme="minorEastAsia" w:hAnsi="Times New Roman" w:cs="Times New Roman"/>
          <w:sz w:val="24"/>
          <w:szCs w:val="24"/>
        </w:rPr>
        <w:t xml:space="preserve"> and α and β are also factor-augmenting technology terms. </w:t>
      </w:r>
      <w:r>
        <w:rPr>
          <w:rFonts w:ascii="Times New Roman" w:hAnsi="Times New Roman" w:cs="Times New Roman"/>
          <w:sz w:val="24"/>
          <w:szCs w:val="24"/>
        </w:rPr>
        <w:t xml:space="preserve">We can express the log wage premium as a function of relative supply and technology, </w:t>
      </w:r>
    </w:p>
    <w:p w14:paraId="5CAA4E74" w14:textId="77777777" w:rsidR="000F7C00" w:rsidRDefault="000F7C00" w:rsidP="000F7C00">
      <w:pPr>
        <w:rPr>
          <w:rFonts w:ascii="Times New Roman" w:hAnsi="Times New Roman" w:cs="Times New Roman"/>
          <w:sz w:val="24"/>
          <w:szCs w:val="24"/>
        </w:rPr>
      </w:pPr>
      <w:r>
        <w:rPr>
          <w:rFonts w:ascii="Times New Roman" w:hAnsi="Times New Roman" w:cs="Times New Roman"/>
          <w:sz w:val="24"/>
          <w:szCs w:val="24"/>
        </w:rPr>
        <w:t>As above, we can express the AA/High School premium as</w:t>
      </w:r>
    </w:p>
    <w:p w14:paraId="0C90AEE8" w14:textId="77777777" w:rsidR="000F7C00" w:rsidRDefault="00B761B5" w:rsidP="000F7C00">
      <w:pPr>
        <w:rPr>
          <w:rFonts w:ascii="Times New Roman" w:eastAsiaTheme="minorEastAsia" w:hAnsi="Times New Roman" w:cs="Times New Roman"/>
          <w:sz w:val="28"/>
          <w:szCs w:val="28"/>
        </w:rPr>
      </w:pPr>
      <m:oMathPara>
        <m:oMath>
          <m:eqArr>
            <m:eqArrPr>
              <m:maxDist m:val="1"/>
              <m:ctrlPr>
                <w:rPr>
                  <w:rFonts w:ascii="Cambria Math" w:hAnsi="Cambria Math" w:cs="Times New Roman"/>
                  <w:i/>
                  <w:sz w:val="28"/>
                  <w:szCs w:val="28"/>
                </w:rPr>
              </m:ctrlPr>
            </m:eqArrPr>
            <m:e>
              <m:func>
                <m:funcPr>
                  <m:ctrlPr>
                    <w:rPr>
                      <w:rFonts w:ascii="Cambria Math" w:hAnsi="Cambria Math" w:cs="Times New Roman"/>
                      <w:i/>
                      <w:sz w:val="28"/>
                      <w:szCs w:val="28"/>
                    </w:rPr>
                  </m:ctrlPr>
                </m:funcPr>
                <m:fName>
                  <m:r>
                    <m:rPr>
                      <m:sty m:val="p"/>
                    </m:rPr>
                    <w:rPr>
                      <w:rFonts w:ascii="Cambria Math" w:hAnsi="Cambria Math" w:cs="Times New Roman"/>
                      <w:sz w:val="28"/>
                      <w:szCs w:val="28"/>
                    </w:rPr>
                    <m:t>ln</m:t>
                  </m:r>
                </m:fName>
                <m:e>
                  <m:sSub>
                    <m:sSubPr>
                      <m:ctrlPr>
                        <w:rPr>
                          <w:rFonts w:ascii="Cambria Math" w:hAnsi="Cambria Math" w:cs="Times New Roman"/>
                          <w:iCs/>
                          <w:sz w:val="28"/>
                          <w:szCs w:val="28"/>
                        </w:rPr>
                      </m:ctrlPr>
                    </m:sSubPr>
                    <m:e>
                      <m:r>
                        <w:rPr>
                          <w:rFonts w:ascii="Cambria Math" w:hAnsi="Cambria Math" w:cs="Times New Roman"/>
                          <w:sz w:val="28"/>
                          <w:szCs w:val="28"/>
                        </w:rPr>
                        <m:t>w</m:t>
                      </m:r>
                    </m:e>
                    <m:sub>
                      <m:r>
                        <w:rPr>
                          <w:rFonts w:ascii="Cambria Math" w:hAnsi="Cambria Math" w:cs="Times New Roman"/>
                          <w:sz w:val="28"/>
                          <w:szCs w:val="28"/>
                        </w:rPr>
                        <m:t>2</m:t>
                      </m:r>
                    </m:sub>
                  </m:sSub>
                </m:e>
              </m:func>
              <m:r>
                <w:rPr>
                  <w:rFonts w:ascii="Cambria Math" w:hAnsi="Cambria Math" w:cs="Times New Roman"/>
                  <w:sz w:val="28"/>
                  <w:szCs w:val="28"/>
                </w:rPr>
                <m:t>=</m:t>
              </m:r>
              <m:func>
                <m:funcPr>
                  <m:ctrlPr>
                    <w:rPr>
                      <w:rFonts w:ascii="Cambria Math" w:hAnsi="Cambria Math" w:cs="Times New Roman"/>
                      <w:i/>
                      <w:sz w:val="28"/>
                      <w:szCs w:val="28"/>
                    </w:rPr>
                  </m:ctrlPr>
                </m:funcPr>
                <m:fName>
                  <m:r>
                    <m:rPr>
                      <m:sty m:val="p"/>
                    </m:rPr>
                    <w:rPr>
                      <w:rFonts w:ascii="Cambria Math" w:hAnsi="Cambria Math" w:cs="Times New Roman"/>
                      <w:sz w:val="28"/>
                      <w:szCs w:val="28"/>
                    </w:rPr>
                    <m:t>ln</m:t>
                  </m:r>
                </m:fName>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M</m:t>
                          </m:r>
                        </m:sub>
                      </m:sSub>
                    </m:num>
                    <m:den>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L</m:t>
                          </m:r>
                        </m:sub>
                      </m:sSub>
                    </m:den>
                  </m:f>
                </m:e>
              </m:func>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32"/>
                      <w:szCs w:val="32"/>
                    </w:rPr>
                    <m:t>η</m:t>
                  </m:r>
                  <m:r>
                    <w:rPr>
                      <w:rFonts w:ascii="Cambria Math" w:hAnsi="Cambria Math" w:cs="Times New Roman"/>
                      <w:sz w:val="36"/>
                      <w:szCs w:val="36"/>
                    </w:rPr>
                    <m:t>-1</m:t>
                  </m:r>
                </m:num>
                <m:den>
                  <m:r>
                    <w:rPr>
                      <w:rFonts w:ascii="Cambria Math" w:hAnsi="Cambria Math" w:cs="Times New Roman"/>
                      <w:sz w:val="32"/>
                      <w:szCs w:val="32"/>
                    </w:rPr>
                    <m:t>η</m:t>
                  </m:r>
                </m:den>
              </m:f>
              <m:r>
                <w:rPr>
                  <w:rFonts w:ascii="Cambria Math" w:hAnsi="Cambria Math" w:cs="Times New Roman"/>
                  <w:sz w:val="28"/>
                  <w:szCs w:val="28"/>
                </w:rPr>
                <m:t>ln</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β</m:t>
                      </m:r>
                    </m:num>
                    <m:den>
                      <m:r>
                        <w:rPr>
                          <w:rFonts w:ascii="Cambria Math" w:hAnsi="Cambria Math" w:cs="Times New Roman"/>
                          <w:sz w:val="28"/>
                          <w:szCs w:val="28"/>
                        </w:rPr>
                        <m:t>α</m:t>
                      </m:r>
                    </m:den>
                  </m:f>
                </m:e>
              </m:d>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32"/>
                      <w:szCs w:val="32"/>
                    </w:rPr>
                    <m:t>η</m:t>
                  </m:r>
                </m:den>
              </m:f>
              <m:r>
                <w:rPr>
                  <w:rFonts w:ascii="Cambria Math" w:hAnsi="Cambria Math" w:cs="Times New Roman"/>
                  <w:sz w:val="28"/>
                  <w:szCs w:val="28"/>
                </w:rPr>
                <m:t>ln</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M</m:t>
                      </m:r>
                    </m:num>
                    <m:den>
                      <m:r>
                        <w:rPr>
                          <w:rFonts w:ascii="Cambria Math" w:hAnsi="Cambria Math" w:cs="Times New Roman"/>
                          <w:sz w:val="28"/>
                          <w:szCs w:val="28"/>
                        </w:rPr>
                        <m:t>L</m:t>
                      </m:r>
                    </m:den>
                  </m:f>
                </m:e>
              </m:d>
              <m:r>
                <w:rPr>
                  <w:rFonts w:ascii="Cambria Math" w:hAnsi="Cambria Math" w:cs="Times New Roman"/>
                  <w:sz w:val="28"/>
                  <w:szCs w:val="28"/>
                </w:rPr>
                <m:t xml:space="preserve">.                                           </m:t>
              </m:r>
            </m:e>
          </m:eqArr>
        </m:oMath>
      </m:oMathPara>
    </w:p>
    <w:p w14:paraId="2592A9F0" w14:textId="77777777" w:rsidR="000F7C00" w:rsidRDefault="000F7C00" w:rsidP="000F7C00">
      <w:pPr>
        <w:rPr>
          <w:rFonts w:ascii="Times New Roman" w:eastAsiaTheme="minorEastAsia" w:hAnsi="Times New Roman" w:cs="Times New Roman"/>
          <w:sz w:val="28"/>
          <w:szCs w:val="28"/>
        </w:rPr>
      </w:pPr>
    </w:p>
    <w:p w14:paraId="068E23BF" w14:textId="77777777" w:rsidR="000F7C00" w:rsidRDefault="000F7C00" w:rsidP="000F7C00">
      <w:pPr>
        <w:rPr>
          <w:rFonts w:ascii="Times New Roman" w:hAnsi="Times New Roman" w:cs="Times New Roman"/>
          <w:sz w:val="24"/>
          <w:szCs w:val="24"/>
        </w:rPr>
      </w:pPr>
      <w:r>
        <w:rPr>
          <w:rFonts w:ascii="Times New Roman" w:hAnsi="Times New Roman" w:cs="Times New Roman"/>
          <w:sz w:val="24"/>
          <w:szCs w:val="24"/>
        </w:rPr>
        <w:t>Allowing for a log-linear time trend in demand for skills driven yields</w:t>
      </w:r>
    </w:p>
    <w:p w14:paraId="15FE1BC6" w14:textId="77777777" w:rsidR="000F7C00" w:rsidRPr="00106226" w:rsidRDefault="00B761B5" w:rsidP="000F7C00">
      <w:pPr>
        <w:rPr>
          <w:rFonts w:ascii="Times New Roman" w:hAnsi="Times New Roman" w:cs="Times New Roman"/>
          <w:sz w:val="28"/>
          <w:szCs w:val="28"/>
        </w:rPr>
      </w:pPr>
      <m:oMathPara>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sSub>
                <m:sSubPr>
                  <m:ctrlPr>
                    <w:rPr>
                      <w:rFonts w:ascii="Cambria Math" w:hAnsi="Cambria Math" w:cs="Times New Roman"/>
                      <w:iCs/>
                      <w:sz w:val="24"/>
                      <w:szCs w:val="24"/>
                    </w:rPr>
                  </m:ctrlPr>
                </m:sSubPr>
                <m:e>
                  <m:r>
                    <w:rPr>
                      <w:rFonts w:ascii="Cambria Math" w:hAnsi="Cambria Math" w:cs="Times New Roman"/>
                      <w:sz w:val="24"/>
                      <w:szCs w:val="24"/>
                    </w:rPr>
                    <m:t>w</m:t>
                  </m:r>
                </m:e>
                <m:sub>
                  <m:r>
                    <w:rPr>
                      <w:rFonts w:ascii="Cambria Math" w:hAnsi="Cambria Math" w:cs="Times New Roman"/>
                      <w:sz w:val="24"/>
                      <w:szCs w:val="24"/>
                    </w:rPr>
                    <m:t>2</m:t>
                  </m:r>
                </m:sub>
              </m:sSub>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M</m:t>
                      </m:r>
                    </m:sub>
                  </m:sSub>
                </m:num>
                <m:den>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L</m:t>
                      </m:r>
                    </m:sub>
                  </m:sSub>
                </m:den>
              </m:f>
            </m:e>
          </m:func>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8"/>
                  <w:szCs w:val="28"/>
                </w:rPr>
                <m:t>η</m:t>
              </m:r>
              <m:r>
                <w:rPr>
                  <w:rFonts w:ascii="Cambria Math" w:hAnsi="Cambria Math" w:cs="Times New Roman"/>
                  <w:sz w:val="32"/>
                  <w:szCs w:val="32"/>
                </w:rPr>
                <m:t>-1</m:t>
              </m:r>
            </m:num>
            <m:den>
              <m:r>
                <w:rPr>
                  <w:rFonts w:ascii="Cambria Math" w:hAnsi="Cambria Math" w:cs="Times New Roman"/>
                  <w:sz w:val="28"/>
                  <w:szCs w:val="28"/>
                </w:rPr>
                <m:t>η</m:t>
              </m:r>
            </m:den>
          </m:f>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8"/>
                  <w:szCs w:val="28"/>
                </w:rPr>
                <m:t>η</m:t>
              </m:r>
              <m:r>
                <w:rPr>
                  <w:rFonts w:ascii="Cambria Math" w:hAnsi="Cambria Math" w:cs="Times New Roman"/>
                  <w:sz w:val="32"/>
                  <w:szCs w:val="32"/>
                </w:rPr>
                <m:t>-1</m:t>
              </m:r>
            </m:num>
            <m:den>
              <m:r>
                <w:rPr>
                  <w:rFonts w:ascii="Cambria Math" w:hAnsi="Cambria Math" w:cs="Times New Roman"/>
                  <w:sz w:val="28"/>
                  <w:szCs w:val="28"/>
                </w:rPr>
                <m:t>η</m:t>
              </m:r>
            </m:den>
          </m:f>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1</m:t>
              </m:r>
            </m:sub>
          </m:sSub>
          <m:r>
            <w:rPr>
              <w:rFonts w:ascii="Cambria Math" w:hAnsi="Cambria Math" w:cs="Times New Roman"/>
              <w:sz w:val="24"/>
              <w:szCs w:val="24"/>
            </w:rPr>
            <m:t xml:space="preserve">t -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8"/>
                  <w:szCs w:val="28"/>
                </w:rPr>
                <m:t>η</m:t>
              </m:r>
            </m:den>
          </m:f>
          <m:r>
            <w:rPr>
              <w:rFonts w:ascii="Cambria Math" w:hAnsi="Cambria Math" w:cs="Times New Roman"/>
              <w:sz w:val="24"/>
              <w:szCs w:val="24"/>
            </w:rPr>
            <m:t>ln</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L</m:t>
                  </m:r>
                </m:den>
              </m:f>
            </m:e>
          </m:d>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2</m:t>
              </m:r>
            </m:e>
          </m:d>
        </m:oMath>
      </m:oMathPara>
    </w:p>
    <w:p w14:paraId="507C360C" w14:textId="77777777" w:rsidR="000F7C00" w:rsidRDefault="000F7C00" w:rsidP="000F7C00">
      <w:pPr>
        <w:spacing w:after="0"/>
        <w:rPr>
          <w:rFonts w:ascii="Times New Roman" w:hAnsi="Times New Roman" w:cs="Times New Roman"/>
          <w:b/>
          <w:bCs/>
          <w:sz w:val="24"/>
          <w:szCs w:val="24"/>
        </w:rPr>
      </w:pPr>
      <w:r>
        <w:rPr>
          <w:rFonts w:ascii="Times New Roman" w:hAnsi="Times New Roman" w:cs="Times New Roman"/>
          <w:b/>
          <w:bCs/>
          <w:sz w:val="24"/>
          <w:szCs w:val="24"/>
        </w:rPr>
        <w:t>Estimates</w:t>
      </w:r>
    </w:p>
    <w:p w14:paraId="48325043" w14:textId="0D81300A" w:rsidR="000F7C00" w:rsidRDefault="000F7C00" w:rsidP="000F7C00">
      <w:pPr>
        <w:spacing w:after="0"/>
        <w:rPr>
          <w:rFonts w:ascii="Times New Roman" w:hAnsi="Times New Roman" w:cs="Times New Roman"/>
          <w:sz w:val="24"/>
          <w:szCs w:val="24"/>
        </w:rPr>
      </w:pPr>
      <w:r>
        <w:rPr>
          <w:rFonts w:ascii="Times New Roman" w:hAnsi="Times New Roman" w:cs="Times New Roman"/>
          <w:sz w:val="24"/>
          <w:szCs w:val="24"/>
        </w:rPr>
        <w:t xml:space="preserve">Table C.1 presents estimates of equation (1) above for several sample restrictions. The post-1992 interaction is included to allow for an evident trend change in the demand for skills around 1992. Using the same data and methodology as </w:t>
      </w:r>
      <w:proofErr w:type="spellStart"/>
      <w:r>
        <w:rPr>
          <w:rFonts w:ascii="Times New Roman" w:hAnsi="Times New Roman" w:cs="Times New Roman"/>
          <w:sz w:val="24"/>
          <w:szCs w:val="24"/>
        </w:rPr>
        <w:t>Acemoglu</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Autor</w:t>
      </w:r>
      <w:proofErr w:type="spellEnd"/>
      <w:r>
        <w:rPr>
          <w:rFonts w:ascii="Times New Roman" w:hAnsi="Times New Roman" w:cs="Times New Roman"/>
          <w:sz w:val="24"/>
          <w:szCs w:val="24"/>
        </w:rPr>
        <w:t xml:space="preserve"> (2011) and data from 1963 to 2008 (as they do), we are able to replicate their coefficient estimate of -0.644 (reported in Table 8 of their handbook chapter). In this table we </w:t>
      </w:r>
      <w:proofErr w:type="spellStart"/>
      <w:r>
        <w:rPr>
          <w:rFonts w:ascii="Times New Roman" w:hAnsi="Times New Roman" w:cs="Times New Roman"/>
          <w:sz w:val="24"/>
          <w:szCs w:val="24"/>
        </w:rPr>
        <w:t>we</w:t>
      </w:r>
      <w:proofErr w:type="spellEnd"/>
      <w:r>
        <w:rPr>
          <w:rFonts w:ascii="Times New Roman" w:hAnsi="Times New Roman" w:cs="Times New Roman"/>
          <w:sz w:val="24"/>
          <w:szCs w:val="24"/>
        </w:rPr>
        <w:t xml:space="preserve"> extend the data through 2018 and obtain an estimated coefficient on the relative BA/HS supply of -0.</w:t>
      </w:r>
      <w:r w:rsidR="00F763C7">
        <w:rPr>
          <w:rFonts w:ascii="Times New Roman" w:hAnsi="Times New Roman" w:cs="Times New Roman"/>
          <w:sz w:val="24"/>
          <w:szCs w:val="24"/>
        </w:rPr>
        <w:t>7</w:t>
      </w:r>
      <w:r w:rsidR="008F3604">
        <w:rPr>
          <w:rFonts w:ascii="Times New Roman" w:hAnsi="Times New Roman" w:cs="Times New Roman"/>
          <w:sz w:val="24"/>
          <w:szCs w:val="24"/>
        </w:rPr>
        <w:t>12</w:t>
      </w:r>
      <w:r>
        <w:rPr>
          <w:rFonts w:ascii="Times New Roman" w:hAnsi="Times New Roman" w:cs="Times New Roman"/>
          <w:sz w:val="24"/>
          <w:szCs w:val="24"/>
        </w:rPr>
        <w:t>. Because our simulations include only 25-54 year-olds and are restricted to the period from 1979 to 2018, it seems appropriate to restrict the estimating data to that age group and time period. Column (2) uses data back to 1963, but restricts the sample to 25-54 year</w:t>
      </w:r>
      <w:r w:rsidR="00E43CBD">
        <w:rPr>
          <w:rFonts w:ascii="Times New Roman" w:hAnsi="Times New Roman" w:cs="Times New Roman"/>
          <w:sz w:val="24"/>
          <w:szCs w:val="24"/>
        </w:rPr>
        <w:t>-o</w:t>
      </w:r>
      <w:r>
        <w:rPr>
          <w:rFonts w:ascii="Times New Roman" w:hAnsi="Times New Roman" w:cs="Times New Roman"/>
          <w:sz w:val="24"/>
          <w:szCs w:val="24"/>
        </w:rPr>
        <w:t xml:space="preserve">lds. Column (3) restricts the estimating data to our population sample and later </w:t>
      </w:r>
      <w:proofErr w:type="gramStart"/>
      <w:r>
        <w:rPr>
          <w:rFonts w:ascii="Times New Roman" w:hAnsi="Times New Roman" w:cs="Times New Roman"/>
          <w:sz w:val="24"/>
          <w:szCs w:val="24"/>
        </w:rPr>
        <w:t>time period</w:t>
      </w:r>
      <w:proofErr w:type="gramEnd"/>
      <w:r>
        <w:rPr>
          <w:rFonts w:ascii="Times New Roman" w:hAnsi="Times New Roman" w:cs="Times New Roman"/>
          <w:sz w:val="24"/>
          <w:szCs w:val="24"/>
        </w:rPr>
        <w:t>. We incorporate the estimate from Column (3) in our main specifications; it implies that a one percent increase in the relative supply of college graduates (relative to high school graduates) will reduce the wage premium by 0.2</w:t>
      </w:r>
      <w:r w:rsidR="00AD7F75">
        <w:rPr>
          <w:rFonts w:ascii="Times New Roman" w:hAnsi="Times New Roman" w:cs="Times New Roman"/>
          <w:sz w:val="24"/>
          <w:szCs w:val="24"/>
        </w:rPr>
        <w:t>5</w:t>
      </w:r>
      <w:r>
        <w:rPr>
          <w:rFonts w:ascii="Times New Roman" w:hAnsi="Times New Roman" w:cs="Times New Roman"/>
          <w:sz w:val="24"/>
          <w:szCs w:val="24"/>
        </w:rPr>
        <w:t xml:space="preserve"> percent. </w:t>
      </w:r>
    </w:p>
    <w:p w14:paraId="4D3DF561" w14:textId="77777777" w:rsidR="000F7C00" w:rsidRDefault="000F7C00" w:rsidP="000F7C00">
      <w:pPr>
        <w:spacing w:after="0"/>
        <w:rPr>
          <w:rFonts w:ascii="Times New Roman" w:hAnsi="Times New Roman" w:cs="Times New Roman"/>
          <w:sz w:val="24"/>
          <w:szCs w:val="24"/>
        </w:rPr>
      </w:pPr>
    </w:p>
    <w:p w14:paraId="5CFB5850" w14:textId="6D073863" w:rsidR="000F7C00" w:rsidRPr="0070167E" w:rsidRDefault="000F7C00" w:rsidP="000F7C00">
      <w:pPr>
        <w:spacing w:after="0"/>
        <w:rPr>
          <w:rFonts w:ascii="Times New Roman" w:hAnsi="Times New Roman" w:cs="Times New Roman"/>
          <w:sz w:val="24"/>
          <w:szCs w:val="24"/>
        </w:rPr>
      </w:pPr>
      <w:r>
        <w:rPr>
          <w:rFonts w:ascii="Times New Roman" w:hAnsi="Times New Roman" w:cs="Times New Roman"/>
          <w:sz w:val="24"/>
          <w:szCs w:val="24"/>
        </w:rPr>
        <w:t>Table C.2 presents estimates of equation (2), the response of the AA/High School or wage premium to changes in the AA/HS-less relative supply. We include the same progression of sample restrictions as before. These estimates are more stable than the BA/HS data above. Column (3), with the preferred sample, suggests that a one percent increase in the AA/HS-less relative supply leads to a 0.1</w:t>
      </w:r>
      <w:r w:rsidR="00AD7F75">
        <w:rPr>
          <w:rFonts w:ascii="Times New Roman" w:hAnsi="Times New Roman" w:cs="Times New Roman"/>
          <w:sz w:val="24"/>
          <w:szCs w:val="24"/>
        </w:rPr>
        <w:t>8</w:t>
      </w:r>
      <w:r>
        <w:rPr>
          <w:rFonts w:ascii="Times New Roman" w:hAnsi="Times New Roman" w:cs="Times New Roman"/>
          <w:sz w:val="24"/>
          <w:szCs w:val="24"/>
        </w:rPr>
        <w:t xml:space="preserve"> percent decrease in that wage premium.  </w:t>
      </w:r>
    </w:p>
    <w:p w14:paraId="3177D93E" w14:textId="77777777" w:rsidR="000F7C00" w:rsidRDefault="000F7C00" w:rsidP="000F7C00">
      <w:pPr>
        <w:spacing w:after="0"/>
        <w:rPr>
          <w:rFonts w:ascii="Times New Roman" w:hAnsi="Times New Roman" w:cs="Times New Roman"/>
          <w:sz w:val="24"/>
          <w:szCs w:val="24"/>
        </w:rPr>
      </w:pPr>
    </w:p>
    <w:p w14:paraId="5DD5F3BE" w14:textId="77777777" w:rsidR="000F7C00" w:rsidRDefault="000F7C00" w:rsidP="000F7C00">
      <w:pPr>
        <w:spacing w:after="0"/>
        <w:ind w:left="720"/>
        <w:rPr>
          <w:rFonts w:ascii="Times New Roman" w:hAnsi="Times New Roman" w:cs="Times New Roman"/>
          <w:sz w:val="24"/>
          <w:szCs w:val="24"/>
        </w:rPr>
      </w:pPr>
    </w:p>
    <w:p w14:paraId="73F4A027" w14:textId="77777777" w:rsidR="000F7C00" w:rsidRDefault="000F7C00" w:rsidP="000F7C00">
      <w:pPr>
        <w:spacing w:after="0"/>
        <w:ind w:left="720"/>
        <w:rPr>
          <w:rFonts w:ascii="Times New Roman" w:hAnsi="Times New Roman" w:cs="Times New Roman"/>
          <w:sz w:val="24"/>
          <w:szCs w:val="24"/>
        </w:rPr>
      </w:pPr>
    </w:p>
    <w:p w14:paraId="0AB0FA19" w14:textId="77777777" w:rsidR="000F7C00" w:rsidRDefault="000F7C00" w:rsidP="000F7C00">
      <w:pPr>
        <w:spacing w:after="0"/>
        <w:ind w:left="720"/>
        <w:rPr>
          <w:rFonts w:ascii="Times New Roman" w:hAnsi="Times New Roman" w:cs="Times New Roman"/>
          <w:sz w:val="24"/>
          <w:szCs w:val="24"/>
        </w:rPr>
      </w:pPr>
    </w:p>
    <w:p w14:paraId="4277435C" w14:textId="77777777" w:rsidR="000F7C00" w:rsidRDefault="000F7C00" w:rsidP="000F7C00">
      <w:pPr>
        <w:spacing w:after="0"/>
        <w:ind w:left="720"/>
        <w:rPr>
          <w:rFonts w:ascii="Times New Roman" w:hAnsi="Times New Roman" w:cs="Times New Roman"/>
          <w:sz w:val="24"/>
          <w:szCs w:val="24"/>
        </w:rPr>
      </w:pPr>
    </w:p>
    <w:p w14:paraId="745FF5B0" w14:textId="77777777" w:rsidR="000F7C00" w:rsidRDefault="000F7C00" w:rsidP="000F7C00">
      <w:pPr>
        <w:spacing w:after="0"/>
        <w:ind w:left="720"/>
        <w:rPr>
          <w:rFonts w:ascii="Times New Roman" w:hAnsi="Times New Roman" w:cs="Times New Roman"/>
          <w:sz w:val="24"/>
          <w:szCs w:val="24"/>
        </w:rPr>
      </w:pPr>
    </w:p>
    <w:p w14:paraId="206155E7" w14:textId="77777777" w:rsidR="000F7C00" w:rsidRDefault="000F7C00" w:rsidP="000F7C00">
      <w:pPr>
        <w:spacing w:after="0"/>
        <w:ind w:left="720"/>
        <w:rPr>
          <w:rFonts w:ascii="Times New Roman" w:hAnsi="Times New Roman" w:cs="Times New Roman"/>
          <w:sz w:val="24"/>
          <w:szCs w:val="24"/>
        </w:rPr>
      </w:pPr>
    </w:p>
    <w:p w14:paraId="51294739" w14:textId="1D13A7A2" w:rsidR="000F7C00" w:rsidRDefault="000F7C00" w:rsidP="000F7C00">
      <w:pPr>
        <w:spacing w:after="0"/>
        <w:ind w:left="720"/>
        <w:rPr>
          <w:rFonts w:ascii="Times New Roman" w:hAnsi="Times New Roman" w:cs="Times New Roman"/>
          <w:sz w:val="24"/>
          <w:szCs w:val="24"/>
        </w:rPr>
      </w:pPr>
    </w:p>
    <w:p w14:paraId="1612A40E" w14:textId="642C7B62" w:rsidR="006D4FC6" w:rsidRDefault="006D4FC6" w:rsidP="000F7C00">
      <w:pPr>
        <w:spacing w:after="0"/>
        <w:ind w:left="720"/>
        <w:rPr>
          <w:rFonts w:ascii="Times New Roman" w:hAnsi="Times New Roman" w:cs="Times New Roman"/>
          <w:sz w:val="24"/>
          <w:szCs w:val="24"/>
        </w:rPr>
      </w:pPr>
    </w:p>
    <w:p w14:paraId="198657B0" w14:textId="51DEC2CB" w:rsidR="006D4FC6" w:rsidRDefault="006D4FC6" w:rsidP="000F7C00">
      <w:pPr>
        <w:spacing w:after="0"/>
        <w:ind w:left="720"/>
        <w:rPr>
          <w:rFonts w:ascii="Times New Roman" w:hAnsi="Times New Roman" w:cs="Times New Roman"/>
          <w:sz w:val="24"/>
          <w:szCs w:val="24"/>
        </w:rPr>
      </w:pPr>
    </w:p>
    <w:p w14:paraId="69E3C700" w14:textId="6256425C" w:rsidR="006D4FC6" w:rsidRDefault="006D4FC6" w:rsidP="000F7C00">
      <w:pPr>
        <w:spacing w:after="0"/>
        <w:ind w:left="720"/>
        <w:rPr>
          <w:rFonts w:ascii="Times New Roman" w:hAnsi="Times New Roman" w:cs="Times New Roman"/>
          <w:sz w:val="24"/>
          <w:szCs w:val="24"/>
        </w:rPr>
      </w:pPr>
    </w:p>
    <w:p w14:paraId="223CAAD3" w14:textId="0C722D9B" w:rsidR="006D4FC6" w:rsidRDefault="006D4FC6" w:rsidP="000F7C00">
      <w:pPr>
        <w:spacing w:after="0"/>
        <w:ind w:left="720"/>
        <w:rPr>
          <w:rFonts w:ascii="Times New Roman" w:hAnsi="Times New Roman" w:cs="Times New Roman"/>
          <w:sz w:val="24"/>
          <w:szCs w:val="24"/>
        </w:rPr>
      </w:pPr>
    </w:p>
    <w:p w14:paraId="134C5BB1" w14:textId="73665A9B" w:rsidR="006D4FC6" w:rsidRDefault="006D4FC6" w:rsidP="000F7C00">
      <w:pPr>
        <w:spacing w:after="0"/>
        <w:ind w:left="720"/>
        <w:rPr>
          <w:rFonts w:ascii="Times New Roman" w:hAnsi="Times New Roman" w:cs="Times New Roman"/>
          <w:sz w:val="24"/>
          <w:szCs w:val="24"/>
        </w:rPr>
      </w:pPr>
    </w:p>
    <w:p w14:paraId="38AEED30" w14:textId="29CE0E19" w:rsidR="006D4FC6" w:rsidRDefault="006D4FC6" w:rsidP="000F7C00">
      <w:pPr>
        <w:spacing w:after="0"/>
        <w:ind w:left="720"/>
        <w:rPr>
          <w:rFonts w:ascii="Times New Roman" w:hAnsi="Times New Roman" w:cs="Times New Roman"/>
          <w:sz w:val="24"/>
          <w:szCs w:val="24"/>
        </w:rPr>
      </w:pPr>
    </w:p>
    <w:p w14:paraId="60FFAFBE" w14:textId="4C0603FC" w:rsidR="006D4FC6" w:rsidRDefault="006D4FC6" w:rsidP="000F7C00">
      <w:pPr>
        <w:spacing w:after="0"/>
        <w:ind w:left="720"/>
        <w:rPr>
          <w:rFonts w:ascii="Times New Roman" w:hAnsi="Times New Roman" w:cs="Times New Roman"/>
          <w:sz w:val="24"/>
          <w:szCs w:val="24"/>
        </w:rPr>
      </w:pPr>
    </w:p>
    <w:p w14:paraId="1DD3ACF8" w14:textId="5C9F7870" w:rsidR="006D4FC6" w:rsidRDefault="006D4FC6" w:rsidP="000F7C00">
      <w:pPr>
        <w:spacing w:after="0"/>
        <w:ind w:left="720"/>
        <w:rPr>
          <w:rFonts w:ascii="Times New Roman" w:hAnsi="Times New Roman" w:cs="Times New Roman"/>
          <w:sz w:val="24"/>
          <w:szCs w:val="24"/>
        </w:rPr>
      </w:pPr>
    </w:p>
    <w:p w14:paraId="6CDC526D" w14:textId="5B531575" w:rsidR="006D4FC6" w:rsidRDefault="006D4FC6" w:rsidP="000F7C00">
      <w:pPr>
        <w:spacing w:after="0"/>
        <w:ind w:left="720"/>
        <w:rPr>
          <w:rFonts w:ascii="Times New Roman" w:hAnsi="Times New Roman" w:cs="Times New Roman"/>
          <w:sz w:val="24"/>
          <w:szCs w:val="24"/>
        </w:rPr>
      </w:pPr>
    </w:p>
    <w:p w14:paraId="1D6B1F12" w14:textId="77777777" w:rsidR="006D4FC6" w:rsidRDefault="006D4FC6" w:rsidP="000F7C00">
      <w:pPr>
        <w:spacing w:after="0"/>
        <w:ind w:left="720"/>
        <w:rPr>
          <w:rFonts w:ascii="Times New Roman" w:hAnsi="Times New Roman" w:cs="Times New Roman"/>
          <w:sz w:val="24"/>
          <w:szCs w:val="24"/>
        </w:rPr>
      </w:pPr>
    </w:p>
    <w:p w14:paraId="379E3A69" w14:textId="77777777" w:rsidR="000F7C00" w:rsidRDefault="000F7C00" w:rsidP="000F7C00">
      <w:pPr>
        <w:spacing w:after="0"/>
        <w:ind w:left="720"/>
        <w:rPr>
          <w:rFonts w:ascii="Times New Roman" w:hAnsi="Times New Roman" w:cs="Times New Roman"/>
          <w:sz w:val="24"/>
          <w:szCs w:val="24"/>
        </w:rPr>
      </w:pPr>
    </w:p>
    <w:p w14:paraId="4C33ACC7" w14:textId="77777777" w:rsidR="000F7C00" w:rsidRDefault="000F7C00" w:rsidP="000F7C00">
      <w:pPr>
        <w:spacing w:after="0"/>
        <w:ind w:left="720"/>
        <w:rPr>
          <w:rFonts w:ascii="Times New Roman" w:hAnsi="Times New Roman" w:cs="Times New Roman"/>
          <w:sz w:val="24"/>
          <w:szCs w:val="24"/>
        </w:rPr>
      </w:pPr>
    </w:p>
    <w:tbl>
      <w:tblPr>
        <w:tblW w:w="8640" w:type="dxa"/>
        <w:jc w:val="center"/>
        <w:tblLook w:val="04A0" w:firstRow="1" w:lastRow="0" w:firstColumn="1" w:lastColumn="0" w:noHBand="0" w:noVBand="1"/>
      </w:tblPr>
      <w:tblGrid>
        <w:gridCol w:w="2590"/>
        <w:gridCol w:w="1578"/>
        <w:gridCol w:w="372"/>
        <w:gridCol w:w="1877"/>
        <w:gridCol w:w="372"/>
        <w:gridCol w:w="1851"/>
      </w:tblGrid>
      <w:tr w:rsidR="000F7C00" w:rsidRPr="00796518" w14:paraId="2006F6BD" w14:textId="77777777" w:rsidTr="00211FA3">
        <w:trPr>
          <w:trHeight w:val="290"/>
          <w:jc w:val="center"/>
        </w:trPr>
        <w:tc>
          <w:tcPr>
            <w:tcW w:w="6301" w:type="dxa"/>
            <w:gridSpan w:val="6"/>
            <w:tcBorders>
              <w:top w:val="nil"/>
              <w:left w:val="nil"/>
              <w:bottom w:val="single" w:sz="4" w:space="0" w:color="auto"/>
              <w:right w:val="nil"/>
            </w:tcBorders>
            <w:shd w:val="clear" w:color="auto" w:fill="auto"/>
            <w:noWrap/>
            <w:vAlign w:val="bottom"/>
            <w:hideMark/>
          </w:tcPr>
          <w:p w14:paraId="757837F0" w14:textId="77777777" w:rsidR="000F7C00" w:rsidRPr="00796518" w:rsidRDefault="000F7C00" w:rsidP="00211FA3">
            <w:pPr>
              <w:spacing w:after="0" w:line="240" w:lineRule="auto"/>
              <w:rPr>
                <w:rFonts w:ascii="Times New Roman" w:eastAsia="Times New Roman" w:hAnsi="Times New Roman" w:cs="Times New Roman"/>
                <w:b/>
                <w:bCs/>
                <w:color w:val="000000"/>
              </w:rPr>
            </w:pPr>
            <w:r w:rsidRPr="00796518">
              <w:rPr>
                <w:rFonts w:ascii="Times New Roman" w:eastAsia="Times New Roman" w:hAnsi="Times New Roman" w:cs="Times New Roman"/>
                <w:b/>
                <w:bCs/>
                <w:color w:val="000000"/>
              </w:rPr>
              <w:t>Table C.1:</w:t>
            </w:r>
            <w:r>
              <w:rPr>
                <w:rFonts w:ascii="Times New Roman" w:eastAsia="Times New Roman" w:hAnsi="Times New Roman" w:cs="Times New Roman"/>
                <w:b/>
                <w:bCs/>
                <w:color w:val="000000"/>
              </w:rPr>
              <w:t xml:space="preserve"> Bachelors-Plus</w:t>
            </w:r>
            <w:r w:rsidRPr="00796518">
              <w:rPr>
                <w:rFonts w:ascii="Times New Roman" w:eastAsia="Times New Roman" w:hAnsi="Times New Roman" w:cs="Times New Roman"/>
                <w:b/>
                <w:bCs/>
                <w:color w:val="000000"/>
              </w:rPr>
              <w:t>/</w:t>
            </w:r>
            <w:r>
              <w:rPr>
                <w:rFonts w:ascii="Times New Roman" w:eastAsia="Times New Roman" w:hAnsi="Times New Roman" w:cs="Times New Roman"/>
                <w:b/>
                <w:bCs/>
                <w:color w:val="000000"/>
              </w:rPr>
              <w:t>High School</w:t>
            </w:r>
            <w:r w:rsidRPr="00796518">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Relative Wage Response</w:t>
            </w:r>
          </w:p>
        </w:tc>
      </w:tr>
      <w:tr w:rsidR="000F7C00" w:rsidRPr="00796518" w14:paraId="2F8FCB87" w14:textId="77777777" w:rsidTr="00211FA3">
        <w:trPr>
          <w:trHeight w:val="290"/>
          <w:jc w:val="center"/>
        </w:trPr>
        <w:tc>
          <w:tcPr>
            <w:tcW w:w="1889" w:type="dxa"/>
            <w:tcBorders>
              <w:top w:val="nil"/>
              <w:left w:val="nil"/>
              <w:bottom w:val="nil"/>
              <w:right w:val="nil"/>
            </w:tcBorders>
            <w:shd w:val="clear" w:color="auto" w:fill="auto"/>
            <w:noWrap/>
            <w:vAlign w:val="bottom"/>
            <w:hideMark/>
          </w:tcPr>
          <w:p w14:paraId="46347093" w14:textId="77777777" w:rsidR="000F7C00" w:rsidRPr="00796518" w:rsidRDefault="000F7C00" w:rsidP="00211FA3">
            <w:pPr>
              <w:spacing w:after="0" w:line="240" w:lineRule="auto"/>
              <w:rPr>
                <w:rFonts w:ascii="Times New Roman" w:eastAsia="Times New Roman" w:hAnsi="Times New Roman" w:cs="Times New Roman"/>
                <w:b/>
                <w:bCs/>
                <w:color w:val="000000"/>
              </w:rPr>
            </w:pPr>
          </w:p>
        </w:tc>
        <w:tc>
          <w:tcPr>
            <w:tcW w:w="2791" w:type="dxa"/>
            <w:gridSpan w:val="3"/>
            <w:tcBorders>
              <w:top w:val="nil"/>
              <w:left w:val="nil"/>
              <w:bottom w:val="single" w:sz="4" w:space="0" w:color="auto"/>
              <w:right w:val="nil"/>
            </w:tcBorders>
            <w:shd w:val="clear" w:color="auto" w:fill="auto"/>
            <w:noWrap/>
            <w:vAlign w:val="bottom"/>
            <w:hideMark/>
          </w:tcPr>
          <w:p w14:paraId="64CF8EEB" w14:textId="77777777" w:rsidR="000F7C00" w:rsidRPr="00796518" w:rsidRDefault="000F7C00" w:rsidP="00211FA3">
            <w:pPr>
              <w:spacing w:after="0" w:line="240" w:lineRule="auto"/>
              <w:jc w:val="center"/>
              <w:rPr>
                <w:rFonts w:ascii="Times New Roman" w:eastAsia="Times New Roman" w:hAnsi="Times New Roman" w:cs="Times New Roman"/>
                <w:color w:val="000000"/>
              </w:rPr>
            </w:pPr>
            <w:r w:rsidRPr="00796518">
              <w:rPr>
                <w:rFonts w:ascii="Times New Roman" w:eastAsia="Times New Roman" w:hAnsi="Times New Roman" w:cs="Times New Roman"/>
                <w:color w:val="000000"/>
              </w:rPr>
              <w:t>1963-20</w:t>
            </w:r>
            <w:r>
              <w:rPr>
                <w:rFonts w:ascii="Times New Roman" w:eastAsia="Times New Roman" w:hAnsi="Times New Roman" w:cs="Times New Roman"/>
                <w:color w:val="000000"/>
              </w:rPr>
              <w:t>1</w:t>
            </w:r>
            <w:r w:rsidRPr="00796518">
              <w:rPr>
                <w:rFonts w:ascii="Times New Roman" w:eastAsia="Times New Roman" w:hAnsi="Times New Roman" w:cs="Times New Roman"/>
                <w:color w:val="000000"/>
              </w:rPr>
              <w:t>8</w:t>
            </w:r>
          </w:p>
        </w:tc>
        <w:tc>
          <w:tcPr>
            <w:tcW w:w="271" w:type="dxa"/>
            <w:tcBorders>
              <w:top w:val="nil"/>
              <w:left w:val="nil"/>
              <w:bottom w:val="nil"/>
              <w:right w:val="nil"/>
            </w:tcBorders>
            <w:shd w:val="clear" w:color="auto" w:fill="auto"/>
            <w:noWrap/>
            <w:vAlign w:val="bottom"/>
            <w:hideMark/>
          </w:tcPr>
          <w:p w14:paraId="09AAAD35" w14:textId="77777777" w:rsidR="000F7C00" w:rsidRPr="00796518" w:rsidRDefault="000F7C00" w:rsidP="00211FA3">
            <w:pPr>
              <w:spacing w:after="0" w:line="240" w:lineRule="auto"/>
              <w:jc w:val="center"/>
              <w:rPr>
                <w:rFonts w:ascii="Times New Roman" w:eastAsia="Times New Roman" w:hAnsi="Times New Roman" w:cs="Times New Roman"/>
                <w:color w:val="000000"/>
              </w:rPr>
            </w:pPr>
          </w:p>
        </w:tc>
        <w:tc>
          <w:tcPr>
            <w:tcW w:w="1350" w:type="dxa"/>
            <w:tcBorders>
              <w:top w:val="nil"/>
              <w:left w:val="nil"/>
              <w:bottom w:val="single" w:sz="4" w:space="0" w:color="auto"/>
              <w:right w:val="nil"/>
            </w:tcBorders>
            <w:shd w:val="clear" w:color="auto" w:fill="auto"/>
            <w:noWrap/>
            <w:vAlign w:val="bottom"/>
            <w:hideMark/>
          </w:tcPr>
          <w:p w14:paraId="73C389F1" w14:textId="77777777" w:rsidR="000F7C00" w:rsidRPr="00796518" w:rsidRDefault="000F7C00" w:rsidP="00211FA3">
            <w:pPr>
              <w:spacing w:after="0" w:line="240" w:lineRule="auto"/>
              <w:rPr>
                <w:rFonts w:ascii="Times New Roman" w:eastAsia="Times New Roman" w:hAnsi="Times New Roman" w:cs="Times New Roman"/>
                <w:color w:val="000000"/>
              </w:rPr>
            </w:pPr>
            <w:r w:rsidRPr="00796518">
              <w:rPr>
                <w:rFonts w:ascii="Times New Roman" w:eastAsia="Times New Roman" w:hAnsi="Times New Roman" w:cs="Times New Roman"/>
                <w:color w:val="000000"/>
              </w:rPr>
              <w:t>1979-2018</w:t>
            </w:r>
          </w:p>
        </w:tc>
      </w:tr>
      <w:tr w:rsidR="000F7C00" w:rsidRPr="00796518" w14:paraId="0750B03C" w14:textId="77777777" w:rsidTr="00211FA3">
        <w:trPr>
          <w:trHeight w:val="290"/>
          <w:jc w:val="center"/>
        </w:trPr>
        <w:tc>
          <w:tcPr>
            <w:tcW w:w="1889" w:type="dxa"/>
            <w:tcBorders>
              <w:top w:val="nil"/>
              <w:left w:val="nil"/>
              <w:bottom w:val="single" w:sz="4" w:space="0" w:color="auto"/>
              <w:right w:val="nil"/>
            </w:tcBorders>
            <w:shd w:val="clear" w:color="auto" w:fill="auto"/>
            <w:noWrap/>
            <w:vAlign w:val="bottom"/>
            <w:hideMark/>
          </w:tcPr>
          <w:p w14:paraId="3A7FBFF4" w14:textId="77777777" w:rsidR="000F7C00" w:rsidRPr="00796518" w:rsidRDefault="000F7C00" w:rsidP="00211FA3">
            <w:pPr>
              <w:spacing w:after="0" w:line="240" w:lineRule="auto"/>
              <w:rPr>
                <w:rFonts w:ascii="Times New Roman" w:eastAsia="Times New Roman" w:hAnsi="Times New Roman" w:cs="Times New Roman"/>
                <w:color w:val="000000"/>
              </w:rPr>
            </w:pPr>
            <w:r w:rsidRPr="00796518">
              <w:rPr>
                <w:rFonts w:ascii="Times New Roman" w:eastAsia="Times New Roman" w:hAnsi="Times New Roman" w:cs="Times New Roman"/>
                <w:color w:val="000000"/>
              </w:rPr>
              <w:t> </w:t>
            </w:r>
          </w:p>
        </w:tc>
        <w:tc>
          <w:tcPr>
            <w:tcW w:w="1151" w:type="dxa"/>
            <w:tcBorders>
              <w:top w:val="nil"/>
              <w:left w:val="nil"/>
              <w:bottom w:val="single" w:sz="4" w:space="0" w:color="auto"/>
              <w:right w:val="nil"/>
            </w:tcBorders>
            <w:shd w:val="clear" w:color="auto" w:fill="auto"/>
            <w:noWrap/>
            <w:vAlign w:val="bottom"/>
            <w:hideMark/>
          </w:tcPr>
          <w:p w14:paraId="51F3B92C" w14:textId="77777777" w:rsidR="000F7C00" w:rsidRPr="00796518" w:rsidRDefault="000F7C00" w:rsidP="00211FA3">
            <w:pPr>
              <w:spacing w:after="0" w:line="240" w:lineRule="auto"/>
              <w:rPr>
                <w:rFonts w:ascii="Times New Roman" w:eastAsia="Times New Roman" w:hAnsi="Times New Roman" w:cs="Times New Roman"/>
                <w:color w:val="000000"/>
              </w:rPr>
            </w:pPr>
            <w:r w:rsidRPr="00796518">
              <w:rPr>
                <w:rFonts w:ascii="Times New Roman" w:eastAsia="Times New Roman" w:hAnsi="Times New Roman" w:cs="Times New Roman"/>
                <w:color w:val="000000"/>
              </w:rPr>
              <w:t xml:space="preserve">16-64 </w:t>
            </w:r>
            <w:proofErr w:type="spellStart"/>
            <w:r w:rsidRPr="00796518">
              <w:rPr>
                <w:rFonts w:ascii="Times New Roman" w:eastAsia="Times New Roman" w:hAnsi="Times New Roman" w:cs="Times New Roman"/>
                <w:color w:val="000000"/>
              </w:rPr>
              <w:t>y.o</w:t>
            </w:r>
            <w:proofErr w:type="spellEnd"/>
            <w:r w:rsidRPr="00796518">
              <w:rPr>
                <w:rFonts w:ascii="Times New Roman" w:eastAsia="Times New Roman" w:hAnsi="Times New Roman" w:cs="Times New Roman"/>
                <w:color w:val="000000"/>
              </w:rPr>
              <w:t>.</w:t>
            </w:r>
          </w:p>
        </w:tc>
        <w:tc>
          <w:tcPr>
            <w:tcW w:w="271" w:type="dxa"/>
            <w:tcBorders>
              <w:top w:val="nil"/>
              <w:left w:val="nil"/>
              <w:bottom w:val="single" w:sz="4" w:space="0" w:color="auto"/>
              <w:right w:val="nil"/>
            </w:tcBorders>
            <w:shd w:val="clear" w:color="auto" w:fill="auto"/>
            <w:noWrap/>
            <w:vAlign w:val="bottom"/>
            <w:hideMark/>
          </w:tcPr>
          <w:p w14:paraId="0E13BC68" w14:textId="77777777" w:rsidR="000F7C00" w:rsidRPr="00796518" w:rsidRDefault="000F7C00" w:rsidP="00211FA3">
            <w:pPr>
              <w:spacing w:after="0" w:line="240" w:lineRule="auto"/>
              <w:rPr>
                <w:rFonts w:ascii="Times New Roman" w:eastAsia="Times New Roman" w:hAnsi="Times New Roman" w:cs="Times New Roman"/>
                <w:color w:val="000000"/>
              </w:rPr>
            </w:pPr>
            <w:r w:rsidRPr="00796518">
              <w:rPr>
                <w:rFonts w:ascii="Times New Roman" w:eastAsia="Times New Roman" w:hAnsi="Times New Roman" w:cs="Times New Roman"/>
                <w:color w:val="000000"/>
              </w:rPr>
              <w:t> </w:t>
            </w:r>
          </w:p>
        </w:tc>
        <w:tc>
          <w:tcPr>
            <w:tcW w:w="1369" w:type="dxa"/>
            <w:tcBorders>
              <w:top w:val="nil"/>
              <w:left w:val="nil"/>
              <w:bottom w:val="single" w:sz="4" w:space="0" w:color="auto"/>
              <w:right w:val="nil"/>
            </w:tcBorders>
            <w:shd w:val="clear" w:color="auto" w:fill="auto"/>
            <w:noWrap/>
            <w:vAlign w:val="bottom"/>
            <w:hideMark/>
          </w:tcPr>
          <w:p w14:paraId="262F9915" w14:textId="77777777" w:rsidR="000F7C00" w:rsidRPr="00796518" w:rsidRDefault="000F7C00" w:rsidP="00211FA3">
            <w:pPr>
              <w:spacing w:after="0" w:line="240" w:lineRule="auto"/>
              <w:rPr>
                <w:rFonts w:ascii="Times New Roman" w:eastAsia="Times New Roman" w:hAnsi="Times New Roman" w:cs="Times New Roman"/>
                <w:color w:val="000000"/>
              </w:rPr>
            </w:pPr>
            <w:r w:rsidRPr="00796518">
              <w:rPr>
                <w:rFonts w:ascii="Times New Roman" w:eastAsia="Times New Roman" w:hAnsi="Times New Roman" w:cs="Times New Roman"/>
                <w:color w:val="000000"/>
              </w:rPr>
              <w:t xml:space="preserve">25-54 </w:t>
            </w:r>
            <w:proofErr w:type="spellStart"/>
            <w:r w:rsidRPr="00796518">
              <w:rPr>
                <w:rFonts w:ascii="Times New Roman" w:eastAsia="Times New Roman" w:hAnsi="Times New Roman" w:cs="Times New Roman"/>
                <w:color w:val="000000"/>
              </w:rPr>
              <w:t>y.o</w:t>
            </w:r>
            <w:proofErr w:type="spellEnd"/>
            <w:r w:rsidRPr="00796518">
              <w:rPr>
                <w:rFonts w:ascii="Times New Roman" w:eastAsia="Times New Roman" w:hAnsi="Times New Roman" w:cs="Times New Roman"/>
                <w:color w:val="000000"/>
              </w:rPr>
              <w:t>.</w:t>
            </w:r>
          </w:p>
        </w:tc>
        <w:tc>
          <w:tcPr>
            <w:tcW w:w="271" w:type="dxa"/>
            <w:tcBorders>
              <w:top w:val="nil"/>
              <w:left w:val="nil"/>
              <w:bottom w:val="single" w:sz="4" w:space="0" w:color="auto"/>
              <w:right w:val="nil"/>
            </w:tcBorders>
            <w:shd w:val="clear" w:color="auto" w:fill="auto"/>
            <w:noWrap/>
            <w:vAlign w:val="bottom"/>
            <w:hideMark/>
          </w:tcPr>
          <w:p w14:paraId="0B10700E" w14:textId="77777777" w:rsidR="000F7C00" w:rsidRPr="00796518" w:rsidRDefault="000F7C00" w:rsidP="00211FA3">
            <w:pPr>
              <w:spacing w:after="0" w:line="240" w:lineRule="auto"/>
              <w:rPr>
                <w:rFonts w:ascii="Times New Roman" w:eastAsia="Times New Roman" w:hAnsi="Times New Roman" w:cs="Times New Roman"/>
                <w:color w:val="000000"/>
              </w:rPr>
            </w:pPr>
            <w:r w:rsidRPr="00796518">
              <w:rPr>
                <w:rFonts w:ascii="Times New Roman" w:eastAsia="Times New Roman" w:hAnsi="Times New Roman" w:cs="Times New Roman"/>
                <w:color w:val="000000"/>
              </w:rPr>
              <w:t> </w:t>
            </w:r>
          </w:p>
        </w:tc>
        <w:tc>
          <w:tcPr>
            <w:tcW w:w="1350" w:type="dxa"/>
            <w:tcBorders>
              <w:top w:val="nil"/>
              <w:left w:val="nil"/>
              <w:bottom w:val="single" w:sz="4" w:space="0" w:color="auto"/>
              <w:right w:val="nil"/>
            </w:tcBorders>
            <w:shd w:val="clear" w:color="auto" w:fill="auto"/>
            <w:noWrap/>
            <w:vAlign w:val="bottom"/>
            <w:hideMark/>
          </w:tcPr>
          <w:p w14:paraId="10A7901F" w14:textId="77777777" w:rsidR="000F7C00" w:rsidRPr="00796518" w:rsidRDefault="000F7C00" w:rsidP="00211FA3">
            <w:pPr>
              <w:spacing w:after="0" w:line="240" w:lineRule="auto"/>
              <w:rPr>
                <w:rFonts w:ascii="Times New Roman" w:eastAsia="Times New Roman" w:hAnsi="Times New Roman" w:cs="Times New Roman"/>
                <w:color w:val="000000"/>
              </w:rPr>
            </w:pPr>
            <w:r w:rsidRPr="00796518">
              <w:rPr>
                <w:rFonts w:ascii="Times New Roman" w:eastAsia="Times New Roman" w:hAnsi="Times New Roman" w:cs="Times New Roman"/>
                <w:color w:val="000000"/>
              </w:rPr>
              <w:t xml:space="preserve">25-54 </w:t>
            </w:r>
            <w:proofErr w:type="spellStart"/>
            <w:r w:rsidRPr="00796518">
              <w:rPr>
                <w:rFonts w:ascii="Times New Roman" w:eastAsia="Times New Roman" w:hAnsi="Times New Roman" w:cs="Times New Roman"/>
                <w:color w:val="000000"/>
              </w:rPr>
              <w:t>y.o</w:t>
            </w:r>
            <w:proofErr w:type="spellEnd"/>
            <w:r w:rsidRPr="00796518">
              <w:rPr>
                <w:rFonts w:ascii="Times New Roman" w:eastAsia="Times New Roman" w:hAnsi="Times New Roman" w:cs="Times New Roman"/>
                <w:color w:val="000000"/>
              </w:rPr>
              <w:t>.</w:t>
            </w:r>
          </w:p>
        </w:tc>
      </w:tr>
      <w:tr w:rsidR="000F7C00" w:rsidRPr="00796518" w14:paraId="4D3FE438" w14:textId="77777777" w:rsidTr="00211FA3">
        <w:trPr>
          <w:trHeight w:val="170"/>
          <w:jc w:val="center"/>
        </w:trPr>
        <w:tc>
          <w:tcPr>
            <w:tcW w:w="1889" w:type="dxa"/>
            <w:tcBorders>
              <w:top w:val="nil"/>
              <w:left w:val="nil"/>
              <w:bottom w:val="nil"/>
              <w:right w:val="nil"/>
            </w:tcBorders>
            <w:shd w:val="clear" w:color="auto" w:fill="auto"/>
            <w:noWrap/>
            <w:vAlign w:val="bottom"/>
            <w:hideMark/>
          </w:tcPr>
          <w:p w14:paraId="3D859F66" w14:textId="77777777" w:rsidR="000F7C00" w:rsidRPr="00796518" w:rsidRDefault="000F7C00" w:rsidP="00211FA3">
            <w:pPr>
              <w:spacing w:after="0" w:line="240" w:lineRule="auto"/>
              <w:rPr>
                <w:rFonts w:ascii="Times New Roman" w:eastAsia="Times New Roman" w:hAnsi="Times New Roman" w:cs="Times New Roman"/>
                <w:color w:val="000000"/>
              </w:rPr>
            </w:pPr>
          </w:p>
        </w:tc>
        <w:tc>
          <w:tcPr>
            <w:tcW w:w="1151" w:type="dxa"/>
            <w:tcBorders>
              <w:top w:val="nil"/>
              <w:left w:val="nil"/>
              <w:bottom w:val="nil"/>
              <w:right w:val="nil"/>
            </w:tcBorders>
            <w:shd w:val="clear" w:color="auto" w:fill="auto"/>
            <w:noWrap/>
            <w:vAlign w:val="bottom"/>
            <w:hideMark/>
          </w:tcPr>
          <w:p w14:paraId="4A40EF56" w14:textId="77777777" w:rsidR="000F7C00" w:rsidRPr="00796518" w:rsidRDefault="000F7C00" w:rsidP="00211FA3">
            <w:pPr>
              <w:spacing w:after="0" w:line="240" w:lineRule="auto"/>
              <w:rPr>
                <w:rFonts w:ascii="Times New Roman" w:eastAsia="Times New Roman" w:hAnsi="Times New Roman" w:cs="Times New Roman"/>
                <w:sz w:val="20"/>
                <w:szCs w:val="20"/>
              </w:rPr>
            </w:pPr>
          </w:p>
        </w:tc>
        <w:tc>
          <w:tcPr>
            <w:tcW w:w="271" w:type="dxa"/>
            <w:tcBorders>
              <w:top w:val="nil"/>
              <w:left w:val="nil"/>
              <w:bottom w:val="nil"/>
              <w:right w:val="nil"/>
            </w:tcBorders>
            <w:shd w:val="clear" w:color="auto" w:fill="auto"/>
            <w:noWrap/>
            <w:vAlign w:val="bottom"/>
            <w:hideMark/>
          </w:tcPr>
          <w:p w14:paraId="382A8392" w14:textId="77777777" w:rsidR="000F7C00" w:rsidRPr="00796518" w:rsidRDefault="000F7C00" w:rsidP="00211FA3">
            <w:pPr>
              <w:spacing w:after="0" w:line="240" w:lineRule="auto"/>
              <w:rPr>
                <w:rFonts w:ascii="Times New Roman" w:eastAsia="Times New Roman" w:hAnsi="Times New Roman" w:cs="Times New Roman"/>
                <w:sz w:val="20"/>
                <w:szCs w:val="20"/>
              </w:rPr>
            </w:pPr>
          </w:p>
        </w:tc>
        <w:tc>
          <w:tcPr>
            <w:tcW w:w="1369" w:type="dxa"/>
            <w:tcBorders>
              <w:top w:val="nil"/>
              <w:left w:val="nil"/>
              <w:bottom w:val="nil"/>
              <w:right w:val="nil"/>
            </w:tcBorders>
            <w:shd w:val="clear" w:color="auto" w:fill="auto"/>
            <w:noWrap/>
            <w:vAlign w:val="bottom"/>
            <w:hideMark/>
          </w:tcPr>
          <w:p w14:paraId="52063CE6" w14:textId="77777777" w:rsidR="000F7C00" w:rsidRPr="00796518" w:rsidRDefault="000F7C00" w:rsidP="00211FA3">
            <w:pPr>
              <w:spacing w:after="0" w:line="240" w:lineRule="auto"/>
              <w:rPr>
                <w:rFonts w:ascii="Times New Roman" w:eastAsia="Times New Roman" w:hAnsi="Times New Roman" w:cs="Times New Roman"/>
                <w:sz w:val="20"/>
                <w:szCs w:val="20"/>
              </w:rPr>
            </w:pPr>
          </w:p>
        </w:tc>
        <w:tc>
          <w:tcPr>
            <w:tcW w:w="271" w:type="dxa"/>
            <w:tcBorders>
              <w:top w:val="nil"/>
              <w:left w:val="nil"/>
              <w:bottom w:val="nil"/>
              <w:right w:val="nil"/>
            </w:tcBorders>
            <w:shd w:val="clear" w:color="auto" w:fill="auto"/>
            <w:noWrap/>
            <w:vAlign w:val="bottom"/>
            <w:hideMark/>
          </w:tcPr>
          <w:p w14:paraId="545B1A9F" w14:textId="77777777" w:rsidR="000F7C00" w:rsidRPr="00796518" w:rsidRDefault="000F7C00" w:rsidP="00211FA3">
            <w:pPr>
              <w:spacing w:after="0" w:line="240" w:lineRule="auto"/>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46192226" w14:textId="77777777" w:rsidR="000F7C00" w:rsidRPr="00796518" w:rsidRDefault="000F7C00" w:rsidP="00211FA3">
            <w:pPr>
              <w:spacing w:after="0" w:line="240" w:lineRule="auto"/>
              <w:rPr>
                <w:rFonts w:ascii="Times New Roman" w:eastAsia="Times New Roman" w:hAnsi="Times New Roman" w:cs="Times New Roman"/>
                <w:sz w:val="20"/>
                <w:szCs w:val="20"/>
              </w:rPr>
            </w:pPr>
          </w:p>
        </w:tc>
      </w:tr>
      <w:tr w:rsidR="000F7C00" w:rsidRPr="00796518" w14:paraId="15621968" w14:textId="77777777" w:rsidTr="00211FA3">
        <w:trPr>
          <w:trHeight w:val="290"/>
          <w:jc w:val="center"/>
        </w:trPr>
        <w:tc>
          <w:tcPr>
            <w:tcW w:w="1889" w:type="dxa"/>
            <w:tcBorders>
              <w:top w:val="nil"/>
              <w:left w:val="nil"/>
              <w:bottom w:val="nil"/>
              <w:right w:val="nil"/>
            </w:tcBorders>
            <w:shd w:val="clear" w:color="auto" w:fill="auto"/>
            <w:noWrap/>
            <w:vAlign w:val="bottom"/>
            <w:hideMark/>
          </w:tcPr>
          <w:p w14:paraId="27231F13" w14:textId="77777777" w:rsidR="000F7C00" w:rsidRPr="00796518" w:rsidRDefault="000F7C00" w:rsidP="00211FA3">
            <w:pPr>
              <w:spacing w:after="0" w:line="240" w:lineRule="auto"/>
              <w:rPr>
                <w:rFonts w:ascii="Times New Roman" w:eastAsia="Times New Roman" w:hAnsi="Times New Roman" w:cs="Times New Roman"/>
                <w:color w:val="000000"/>
              </w:rPr>
            </w:pPr>
            <w:r w:rsidRPr="00796518">
              <w:rPr>
                <w:rFonts w:ascii="Times New Roman" w:eastAsia="Times New Roman" w:hAnsi="Times New Roman" w:cs="Times New Roman"/>
                <w:color w:val="000000"/>
              </w:rPr>
              <w:t>Relative Supply</w:t>
            </w:r>
          </w:p>
        </w:tc>
        <w:tc>
          <w:tcPr>
            <w:tcW w:w="1151" w:type="dxa"/>
            <w:tcBorders>
              <w:top w:val="nil"/>
              <w:left w:val="nil"/>
              <w:bottom w:val="nil"/>
              <w:right w:val="nil"/>
            </w:tcBorders>
            <w:shd w:val="clear" w:color="auto" w:fill="auto"/>
            <w:noWrap/>
            <w:vAlign w:val="bottom"/>
            <w:hideMark/>
          </w:tcPr>
          <w:p w14:paraId="096BD081" w14:textId="7F85B99A" w:rsidR="000F7C00" w:rsidRPr="00796518" w:rsidRDefault="000F7C00" w:rsidP="00211FA3">
            <w:pPr>
              <w:spacing w:after="0" w:line="240" w:lineRule="auto"/>
              <w:rPr>
                <w:rFonts w:ascii="Times New Roman" w:eastAsia="Times New Roman" w:hAnsi="Times New Roman" w:cs="Times New Roman"/>
                <w:color w:val="000000"/>
              </w:rPr>
            </w:pPr>
            <w:r w:rsidRPr="00796518">
              <w:rPr>
                <w:rFonts w:ascii="Times New Roman" w:eastAsia="Times New Roman" w:hAnsi="Times New Roman" w:cs="Times New Roman"/>
                <w:color w:val="000000"/>
              </w:rPr>
              <w:t>-0.</w:t>
            </w:r>
            <w:r w:rsidR="00DE1F54">
              <w:rPr>
                <w:rFonts w:ascii="Times New Roman" w:eastAsia="Times New Roman" w:hAnsi="Times New Roman" w:cs="Times New Roman"/>
                <w:color w:val="000000"/>
              </w:rPr>
              <w:t>712</w:t>
            </w:r>
            <w:r w:rsidRPr="00796518">
              <w:rPr>
                <w:rFonts w:ascii="Times New Roman" w:eastAsia="Times New Roman" w:hAnsi="Times New Roman" w:cs="Times New Roman"/>
                <w:color w:val="000000"/>
              </w:rPr>
              <w:t>***</w:t>
            </w:r>
          </w:p>
        </w:tc>
        <w:tc>
          <w:tcPr>
            <w:tcW w:w="271" w:type="dxa"/>
            <w:tcBorders>
              <w:top w:val="nil"/>
              <w:left w:val="nil"/>
              <w:bottom w:val="nil"/>
              <w:right w:val="nil"/>
            </w:tcBorders>
            <w:shd w:val="clear" w:color="auto" w:fill="auto"/>
            <w:noWrap/>
            <w:vAlign w:val="bottom"/>
            <w:hideMark/>
          </w:tcPr>
          <w:p w14:paraId="082AABF9" w14:textId="77777777" w:rsidR="000F7C00" w:rsidRPr="00796518" w:rsidRDefault="000F7C00" w:rsidP="00211FA3">
            <w:pPr>
              <w:spacing w:after="0" w:line="240" w:lineRule="auto"/>
              <w:rPr>
                <w:rFonts w:ascii="Times New Roman" w:eastAsia="Times New Roman" w:hAnsi="Times New Roman" w:cs="Times New Roman"/>
                <w:color w:val="000000"/>
              </w:rPr>
            </w:pPr>
          </w:p>
        </w:tc>
        <w:tc>
          <w:tcPr>
            <w:tcW w:w="1369" w:type="dxa"/>
            <w:tcBorders>
              <w:top w:val="nil"/>
              <w:left w:val="nil"/>
              <w:bottom w:val="nil"/>
              <w:right w:val="nil"/>
            </w:tcBorders>
            <w:shd w:val="clear" w:color="auto" w:fill="auto"/>
            <w:noWrap/>
            <w:vAlign w:val="bottom"/>
            <w:hideMark/>
          </w:tcPr>
          <w:p w14:paraId="68143164" w14:textId="77777777" w:rsidR="000F7C00" w:rsidRPr="00796518" w:rsidRDefault="000F7C00" w:rsidP="00211FA3">
            <w:pPr>
              <w:spacing w:after="0" w:line="240" w:lineRule="auto"/>
              <w:rPr>
                <w:rFonts w:ascii="Times New Roman" w:eastAsia="Times New Roman" w:hAnsi="Times New Roman" w:cs="Times New Roman"/>
                <w:color w:val="000000"/>
              </w:rPr>
            </w:pPr>
            <w:r w:rsidRPr="00796518">
              <w:rPr>
                <w:rFonts w:ascii="Times New Roman" w:eastAsia="Times New Roman" w:hAnsi="Times New Roman" w:cs="Times New Roman"/>
                <w:color w:val="000000"/>
              </w:rPr>
              <w:t>-0.480***</w:t>
            </w:r>
          </w:p>
        </w:tc>
        <w:tc>
          <w:tcPr>
            <w:tcW w:w="271" w:type="dxa"/>
            <w:tcBorders>
              <w:top w:val="nil"/>
              <w:left w:val="nil"/>
              <w:bottom w:val="nil"/>
              <w:right w:val="nil"/>
            </w:tcBorders>
            <w:shd w:val="clear" w:color="auto" w:fill="auto"/>
            <w:noWrap/>
            <w:vAlign w:val="bottom"/>
            <w:hideMark/>
          </w:tcPr>
          <w:p w14:paraId="69B7C389" w14:textId="77777777" w:rsidR="000F7C00" w:rsidRPr="00796518" w:rsidRDefault="000F7C00" w:rsidP="00211FA3">
            <w:pPr>
              <w:spacing w:after="0" w:line="240" w:lineRule="auto"/>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hideMark/>
          </w:tcPr>
          <w:p w14:paraId="49D5426D" w14:textId="1490F2B4" w:rsidR="000F7C00" w:rsidRPr="00796518" w:rsidRDefault="000F7C00" w:rsidP="00211FA3">
            <w:pPr>
              <w:spacing w:after="0" w:line="240" w:lineRule="auto"/>
              <w:rPr>
                <w:rFonts w:ascii="Times New Roman" w:eastAsia="Times New Roman" w:hAnsi="Times New Roman" w:cs="Times New Roman"/>
                <w:color w:val="000000"/>
              </w:rPr>
            </w:pPr>
            <w:r w:rsidRPr="00796518">
              <w:rPr>
                <w:rFonts w:ascii="Times New Roman" w:eastAsia="Times New Roman" w:hAnsi="Times New Roman" w:cs="Times New Roman"/>
                <w:color w:val="000000"/>
              </w:rPr>
              <w:t>-0.2</w:t>
            </w:r>
            <w:r w:rsidR="00C75396">
              <w:rPr>
                <w:rFonts w:ascii="Times New Roman" w:eastAsia="Times New Roman" w:hAnsi="Times New Roman" w:cs="Times New Roman"/>
                <w:color w:val="000000"/>
              </w:rPr>
              <w:t>52</w:t>
            </w:r>
            <w:r w:rsidRPr="00796518">
              <w:rPr>
                <w:rFonts w:ascii="Times New Roman" w:eastAsia="Times New Roman" w:hAnsi="Times New Roman" w:cs="Times New Roman"/>
                <w:color w:val="000000"/>
              </w:rPr>
              <w:t>***</w:t>
            </w:r>
          </w:p>
        </w:tc>
      </w:tr>
      <w:tr w:rsidR="000F7C00" w:rsidRPr="00796518" w14:paraId="55504D4A" w14:textId="77777777" w:rsidTr="00211FA3">
        <w:trPr>
          <w:trHeight w:val="290"/>
          <w:jc w:val="center"/>
        </w:trPr>
        <w:tc>
          <w:tcPr>
            <w:tcW w:w="1889" w:type="dxa"/>
            <w:tcBorders>
              <w:top w:val="nil"/>
              <w:left w:val="nil"/>
              <w:bottom w:val="nil"/>
              <w:right w:val="nil"/>
            </w:tcBorders>
            <w:shd w:val="clear" w:color="auto" w:fill="auto"/>
            <w:noWrap/>
            <w:vAlign w:val="bottom"/>
            <w:hideMark/>
          </w:tcPr>
          <w:p w14:paraId="6F755B08" w14:textId="77777777" w:rsidR="000F7C00" w:rsidRPr="00796518" w:rsidRDefault="000F7C00" w:rsidP="00211FA3">
            <w:pPr>
              <w:spacing w:after="0" w:line="240" w:lineRule="auto"/>
              <w:rPr>
                <w:rFonts w:ascii="Times New Roman" w:eastAsia="Times New Roman" w:hAnsi="Times New Roman" w:cs="Times New Roman"/>
                <w:color w:val="000000"/>
              </w:rPr>
            </w:pPr>
          </w:p>
        </w:tc>
        <w:tc>
          <w:tcPr>
            <w:tcW w:w="1151" w:type="dxa"/>
            <w:tcBorders>
              <w:top w:val="nil"/>
              <w:left w:val="nil"/>
              <w:bottom w:val="nil"/>
              <w:right w:val="nil"/>
            </w:tcBorders>
            <w:shd w:val="clear" w:color="auto" w:fill="auto"/>
            <w:noWrap/>
            <w:vAlign w:val="bottom"/>
            <w:hideMark/>
          </w:tcPr>
          <w:p w14:paraId="04324137" w14:textId="32FCF38F" w:rsidR="000F7C00" w:rsidRPr="00796518" w:rsidRDefault="000F7C00" w:rsidP="00211FA3">
            <w:pPr>
              <w:spacing w:after="0" w:line="240" w:lineRule="auto"/>
              <w:rPr>
                <w:rFonts w:ascii="Times New Roman" w:eastAsia="Times New Roman" w:hAnsi="Times New Roman" w:cs="Times New Roman"/>
                <w:color w:val="000000"/>
              </w:rPr>
            </w:pPr>
            <w:r w:rsidRPr="00796518">
              <w:rPr>
                <w:rFonts w:ascii="Times New Roman" w:eastAsia="Times New Roman" w:hAnsi="Times New Roman" w:cs="Times New Roman"/>
                <w:color w:val="000000"/>
              </w:rPr>
              <w:t>(0.0</w:t>
            </w:r>
            <w:r w:rsidR="00DE1F54">
              <w:rPr>
                <w:rFonts w:ascii="Times New Roman" w:eastAsia="Times New Roman" w:hAnsi="Times New Roman" w:cs="Times New Roman"/>
                <w:color w:val="000000"/>
              </w:rPr>
              <w:t>714</w:t>
            </w:r>
            <w:r w:rsidRPr="00796518">
              <w:rPr>
                <w:rFonts w:ascii="Times New Roman" w:eastAsia="Times New Roman" w:hAnsi="Times New Roman" w:cs="Times New Roman"/>
                <w:color w:val="000000"/>
              </w:rPr>
              <w:t>)</w:t>
            </w:r>
          </w:p>
        </w:tc>
        <w:tc>
          <w:tcPr>
            <w:tcW w:w="271" w:type="dxa"/>
            <w:tcBorders>
              <w:top w:val="nil"/>
              <w:left w:val="nil"/>
              <w:bottom w:val="nil"/>
              <w:right w:val="nil"/>
            </w:tcBorders>
            <w:shd w:val="clear" w:color="auto" w:fill="auto"/>
            <w:noWrap/>
            <w:vAlign w:val="bottom"/>
            <w:hideMark/>
          </w:tcPr>
          <w:p w14:paraId="16FC7F79" w14:textId="77777777" w:rsidR="000F7C00" w:rsidRPr="00796518" w:rsidRDefault="000F7C00" w:rsidP="00211FA3">
            <w:pPr>
              <w:spacing w:after="0" w:line="240" w:lineRule="auto"/>
              <w:rPr>
                <w:rFonts w:ascii="Times New Roman" w:eastAsia="Times New Roman" w:hAnsi="Times New Roman" w:cs="Times New Roman"/>
                <w:color w:val="000000"/>
              </w:rPr>
            </w:pPr>
          </w:p>
        </w:tc>
        <w:tc>
          <w:tcPr>
            <w:tcW w:w="1369" w:type="dxa"/>
            <w:tcBorders>
              <w:top w:val="nil"/>
              <w:left w:val="nil"/>
              <w:bottom w:val="nil"/>
              <w:right w:val="nil"/>
            </w:tcBorders>
            <w:shd w:val="clear" w:color="auto" w:fill="auto"/>
            <w:noWrap/>
            <w:vAlign w:val="bottom"/>
            <w:hideMark/>
          </w:tcPr>
          <w:p w14:paraId="6FB30A0A" w14:textId="77777777" w:rsidR="000F7C00" w:rsidRPr="00796518" w:rsidRDefault="000F7C00" w:rsidP="00211FA3">
            <w:pPr>
              <w:spacing w:after="0" w:line="240" w:lineRule="auto"/>
              <w:rPr>
                <w:rFonts w:ascii="Times New Roman" w:eastAsia="Times New Roman" w:hAnsi="Times New Roman" w:cs="Times New Roman"/>
                <w:color w:val="000000"/>
              </w:rPr>
            </w:pPr>
            <w:r w:rsidRPr="00796518">
              <w:rPr>
                <w:rFonts w:ascii="Times New Roman" w:eastAsia="Times New Roman" w:hAnsi="Times New Roman" w:cs="Times New Roman"/>
                <w:color w:val="000000"/>
              </w:rPr>
              <w:t>(0.0407)</w:t>
            </w:r>
          </w:p>
        </w:tc>
        <w:tc>
          <w:tcPr>
            <w:tcW w:w="271" w:type="dxa"/>
            <w:tcBorders>
              <w:top w:val="nil"/>
              <w:left w:val="nil"/>
              <w:bottom w:val="nil"/>
              <w:right w:val="nil"/>
            </w:tcBorders>
            <w:shd w:val="clear" w:color="auto" w:fill="auto"/>
            <w:noWrap/>
            <w:vAlign w:val="bottom"/>
            <w:hideMark/>
          </w:tcPr>
          <w:p w14:paraId="42950D9B" w14:textId="77777777" w:rsidR="000F7C00" w:rsidRPr="00796518" w:rsidRDefault="000F7C00" w:rsidP="00211FA3">
            <w:pPr>
              <w:spacing w:after="0" w:line="240" w:lineRule="auto"/>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hideMark/>
          </w:tcPr>
          <w:p w14:paraId="6B37C368" w14:textId="5C82B530" w:rsidR="000F7C00" w:rsidRPr="00796518" w:rsidRDefault="000F7C00" w:rsidP="00211FA3">
            <w:pPr>
              <w:spacing w:after="0" w:line="240" w:lineRule="auto"/>
              <w:rPr>
                <w:rFonts w:ascii="Times New Roman" w:eastAsia="Times New Roman" w:hAnsi="Times New Roman" w:cs="Times New Roman"/>
                <w:color w:val="000000"/>
              </w:rPr>
            </w:pPr>
            <w:r w:rsidRPr="00796518">
              <w:rPr>
                <w:rFonts w:ascii="Times New Roman" w:eastAsia="Times New Roman" w:hAnsi="Times New Roman" w:cs="Times New Roman"/>
                <w:color w:val="000000"/>
              </w:rPr>
              <w:t>(0.0</w:t>
            </w:r>
            <w:r w:rsidR="00C75396">
              <w:rPr>
                <w:rFonts w:ascii="Times New Roman" w:eastAsia="Times New Roman" w:hAnsi="Times New Roman" w:cs="Times New Roman"/>
                <w:color w:val="000000"/>
              </w:rPr>
              <w:t>858</w:t>
            </w:r>
            <w:r w:rsidRPr="00796518">
              <w:rPr>
                <w:rFonts w:ascii="Times New Roman" w:eastAsia="Times New Roman" w:hAnsi="Times New Roman" w:cs="Times New Roman"/>
                <w:color w:val="000000"/>
              </w:rPr>
              <w:t>)</w:t>
            </w:r>
          </w:p>
        </w:tc>
      </w:tr>
      <w:tr w:rsidR="000F7C00" w:rsidRPr="00796518" w14:paraId="7E470779" w14:textId="77777777" w:rsidTr="00211FA3">
        <w:trPr>
          <w:trHeight w:val="290"/>
          <w:jc w:val="center"/>
        </w:trPr>
        <w:tc>
          <w:tcPr>
            <w:tcW w:w="1889" w:type="dxa"/>
            <w:tcBorders>
              <w:top w:val="nil"/>
              <w:left w:val="nil"/>
              <w:bottom w:val="nil"/>
              <w:right w:val="nil"/>
            </w:tcBorders>
            <w:shd w:val="clear" w:color="auto" w:fill="auto"/>
            <w:noWrap/>
            <w:vAlign w:val="bottom"/>
            <w:hideMark/>
          </w:tcPr>
          <w:p w14:paraId="04B1E7ED" w14:textId="77777777" w:rsidR="000F7C00" w:rsidRPr="00796518" w:rsidRDefault="000F7C00" w:rsidP="00211FA3">
            <w:pPr>
              <w:spacing w:after="0" w:line="240" w:lineRule="auto"/>
              <w:rPr>
                <w:rFonts w:ascii="Times New Roman" w:eastAsia="Times New Roman" w:hAnsi="Times New Roman" w:cs="Times New Roman"/>
                <w:color w:val="000000"/>
              </w:rPr>
            </w:pPr>
            <w:r w:rsidRPr="00796518">
              <w:rPr>
                <w:rFonts w:ascii="Times New Roman" w:eastAsia="Times New Roman" w:hAnsi="Times New Roman" w:cs="Times New Roman"/>
                <w:color w:val="000000"/>
              </w:rPr>
              <w:t>Time</w:t>
            </w:r>
          </w:p>
        </w:tc>
        <w:tc>
          <w:tcPr>
            <w:tcW w:w="1151" w:type="dxa"/>
            <w:tcBorders>
              <w:top w:val="nil"/>
              <w:left w:val="nil"/>
              <w:bottom w:val="nil"/>
              <w:right w:val="nil"/>
            </w:tcBorders>
            <w:shd w:val="clear" w:color="auto" w:fill="auto"/>
            <w:noWrap/>
            <w:vAlign w:val="bottom"/>
            <w:hideMark/>
          </w:tcPr>
          <w:p w14:paraId="381B32FC" w14:textId="4DE84840" w:rsidR="000F7C00" w:rsidRPr="00796518" w:rsidRDefault="000F7C00" w:rsidP="00211FA3">
            <w:pPr>
              <w:spacing w:after="0" w:line="240" w:lineRule="auto"/>
              <w:rPr>
                <w:rFonts w:ascii="Times New Roman" w:eastAsia="Times New Roman" w:hAnsi="Times New Roman" w:cs="Times New Roman"/>
                <w:color w:val="000000"/>
              </w:rPr>
            </w:pPr>
            <w:r w:rsidRPr="00796518">
              <w:rPr>
                <w:rFonts w:ascii="Times New Roman" w:eastAsia="Times New Roman" w:hAnsi="Times New Roman" w:cs="Times New Roman"/>
                <w:color w:val="000000"/>
              </w:rPr>
              <w:t>0.030</w:t>
            </w:r>
            <w:r w:rsidR="00DE1F54">
              <w:rPr>
                <w:rFonts w:ascii="Times New Roman" w:eastAsia="Times New Roman" w:hAnsi="Times New Roman" w:cs="Times New Roman"/>
                <w:color w:val="000000"/>
              </w:rPr>
              <w:t>2</w:t>
            </w:r>
            <w:r w:rsidRPr="00796518">
              <w:rPr>
                <w:rFonts w:ascii="Times New Roman" w:eastAsia="Times New Roman" w:hAnsi="Times New Roman" w:cs="Times New Roman"/>
                <w:color w:val="000000"/>
              </w:rPr>
              <w:t>***</w:t>
            </w:r>
          </w:p>
        </w:tc>
        <w:tc>
          <w:tcPr>
            <w:tcW w:w="271" w:type="dxa"/>
            <w:tcBorders>
              <w:top w:val="nil"/>
              <w:left w:val="nil"/>
              <w:bottom w:val="nil"/>
              <w:right w:val="nil"/>
            </w:tcBorders>
            <w:shd w:val="clear" w:color="auto" w:fill="auto"/>
            <w:noWrap/>
            <w:vAlign w:val="bottom"/>
            <w:hideMark/>
          </w:tcPr>
          <w:p w14:paraId="067FB6C1" w14:textId="77777777" w:rsidR="000F7C00" w:rsidRPr="00796518" w:rsidRDefault="000F7C00" w:rsidP="00211FA3">
            <w:pPr>
              <w:spacing w:after="0" w:line="240" w:lineRule="auto"/>
              <w:rPr>
                <w:rFonts w:ascii="Times New Roman" w:eastAsia="Times New Roman" w:hAnsi="Times New Roman" w:cs="Times New Roman"/>
                <w:color w:val="000000"/>
              </w:rPr>
            </w:pPr>
          </w:p>
        </w:tc>
        <w:tc>
          <w:tcPr>
            <w:tcW w:w="1369" w:type="dxa"/>
            <w:tcBorders>
              <w:top w:val="nil"/>
              <w:left w:val="nil"/>
              <w:bottom w:val="nil"/>
              <w:right w:val="nil"/>
            </w:tcBorders>
            <w:shd w:val="clear" w:color="auto" w:fill="auto"/>
            <w:noWrap/>
            <w:vAlign w:val="bottom"/>
            <w:hideMark/>
          </w:tcPr>
          <w:p w14:paraId="6C92CF58" w14:textId="77777777" w:rsidR="000F7C00" w:rsidRPr="00796518" w:rsidRDefault="000F7C00" w:rsidP="00211FA3">
            <w:pPr>
              <w:spacing w:after="0" w:line="240" w:lineRule="auto"/>
              <w:rPr>
                <w:rFonts w:ascii="Times New Roman" w:eastAsia="Times New Roman" w:hAnsi="Times New Roman" w:cs="Times New Roman"/>
                <w:color w:val="000000"/>
              </w:rPr>
            </w:pPr>
            <w:r w:rsidRPr="00796518">
              <w:rPr>
                <w:rFonts w:ascii="Times New Roman" w:eastAsia="Times New Roman" w:hAnsi="Times New Roman" w:cs="Times New Roman"/>
                <w:color w:val="000000"/>
              </w:rPr>
              <w:t>0.0213***</w:t>
            </w:r>
          </w:p>
        </w:tc>
        <w:tc>
          <w:tcPr>
            <w:tcW w:w="271" w:type="dxa"/>
            <w:tcBorders>
              <w:top w:val="nil"/>
              <w:left w:val="nil"/>
              <w:bottom w:val="nil"/>
              <w:right w:val="nil"/>
            </w:tcBorders>
            <w:shd w:val="clear" w:color="auto" w:fill="auto"/>
            <w:noWrap/>
            <w:vAlign w:val="bottom"/>
            <w:hideMark/>
          </w:tcPr>
          <w:p w14:paraId="57295CE0" w14:textId="77777777" w:rsidR="000F7C00" w:rsidRPr="00796518" w:rsidRDefault="000F7C00" w:rsidP="00211FA3">
            <w:pPr>
              <w:spacing w:after="0" w:line="240" w:lineRule="auto"/>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hideMark/>
          </w:tcPr>
          <w:p w14:paraId="68DCEB98" w14:textId="77777777" w:rsidR="000F7C00" w:rsidRPr="00796518" w:rsidRDefault="000F7C00" w:rsidP="00211FA3">
            <w:pPr>
              <w:spacing w:after="0" w:line="240" w:lineRule="auto"/>
              <w:rPr>
                <w:rFonts w:ascii="Times New Roman" w:eastAsia="Times New Roman" w:hAnsi="Times New Roman" w:cs="Times New Roman"/>
                <w:color w:val="000000"/>
              </w:rPr>
            </w:pPr>
            <w:r w:rsidRPr="00796518">
              <w:rPr>
                <w:rFonts w:ascii="Times New Roman" w:eastAsia="Times New Roman" w:hAnsi="Times New Roman" w:cs="Times New Roman"/>
                <w:color w:val="000000"/>
              </w:rPr>
              <w:t>0.0198***</w:t>
            </w:r>
          </w:p>
        </w:tc>
      </w:tr>
      <w:tr w:rsidR="000F7C00" w:rsidRPr="00796518" w14:paraId="5CBDF1EE" w14:textId="77777777" w:rsidTr="00211FA3">
        <w:trPr>
          <w:trHeight w:val="290"/>
          <w:jc w:val="center"/>
        </w:trPr>
        <w:tc>
          <w:tcPr>
            <w:tcW w:w="1889" w:type="dxa"/>
            <w:tcBorders>
              <w:top w:val="nil"/>
              <w:left w:val="nil"/>
              <w:bottom w:val="nil"/>
              <w:right w:val="nil"/>
            </w:tcBorders>
            <w:shd w:val="clear" w:color="auto" w:fill="auto"/>
            <w:noWrap/>
            <w:vAlign w:val="bottom"/>
            <w:hideMark/>
          </w:tcPr>
          <w:p w14:paraId="05F6A452" w14:textId="77777777" w:rsidR="000F7C00" w:rsidRPr="00796518" w:rsidRDefault="000F7C00" w:rsidP="00211FA3">
            <w:pPr>
              <w:spacing w:after="0" w:line="240" w:lineRule="auto"/>
              <w:rPr>
                <w:rFonts w:ascii="Times New Roman" w:eastAsia="Times New Roman" w:hAnsi="Times New Roman" w:cs="Times New Roman"/>
                <w:color w:val="000000"/>
              </w:rPr>
            </w:pPr>
          </w:p>
        </w:tc>
        <w:tc>
          <w:tcPr>
            <w:tcW w:w="1151" w:type="dxa"/>
            <w:tcBorders>
              <w:top w:val="nil"/>
              <w:left w:val="nil"/>
              <w:bottom w:val="nil"/>
              <w:right w:val="nil"/>
            </w:tcBorders>
            <w:shd w:val="clear" w:color="auto" w:fill="auto"/>
            <w:noWrap/>
            <w:vAlign w:val="bottom"/>
            <w:hideMark/>
          </w:tcPr>
          <w:p w14:paraId="620A9EE6" w14:textId="0C01427A" w:rsidR="000F7C00" w:rsidRPr="00796518" w:rsidRDefault="000F7C00" w:rsidP="00211FA3">
            <w:pPr>
              <w:spacing w:after="0" w:line="240" w:lineRule="auto"/>
              <w:rPr>
                <w:rFonts w:ascii="Times New Roman" w:eastAsia="Times New Roman" w:hAnsi="Times New Roman" w:cs="Times New Roman"/>
                <w:color w:val="000000"/>
              </w:rPr>
            </w:pPr>
            <w:r w:rsidRPr="00796518">
              <w:rPr>
                <w:rFonts w:ascii="Times New Roman" w:eastAsia="Times New Roman" w:hAnsi="Times New Roman" w:cs="Times New Roman"/>
                <w:color w:val="000000"/>
              </w:rPr>
              <w:t>(0.00</w:t>
            </w:r>
            <w:r w:rsidR="00DE1F54">
              <w:rPr>
                <w:rFonts w:ascii="Times New Roman" w:eastAsia="Times New Roman" w:hAnsi="Times New Roman" w:cs="Times New Roman"/>
                <w:color w:val="000000"/>
              </w:rPr>
              <w:t>249</w:t>
            </w:r>
            <w:r w:rsidRPr="00796518">
              <w:rPr>
                <w:rFonts w:ascii="Times New Roman" w:eastAsia="Times New Roman" w:hAnsi="Times New Roman" w:cs="Times New Roman"/>
                <w:color w:val="000000"/>
              </w:rPr>
              <w:t>)</w:t>
            </w:r>
          </w:p>
        </w:tc>
        <w:tc>
          <w:tcPr>
            <w:tcW w:w="271" w:type="dxa"/>
            <w:tcBorders>
              <w:top w:val="nil"/>
              <w:left w:val="nil"/>
              <w:bottom w:val="nil"/>
              <w:right w:val="nil"/>
            </w:tcBorders>
            <w:shd w:val="clear" w:color="auto" w:fill="auto"/>
            <w:noWrap/>
            <w:vAlign w:val="bottom"/>
            <w:hideMark/>
          </w:tcPr>
          <w:p w14:paraId="4C7ED7D6" w14:textId="77777777" w:rsidR="000F7C00" w:rsidRPr="00796518" w:rsidRDefault="000F7C00" w:rsidP="00211FA3">
            <w:pPr>
              <w:spacing w:after="0" w:line="240" w:lineRule="auto"/>
              <w:rPr>
                <w:rFonts w:ascii="Times New Roman" w:eastAsia="Times New Roman" w:hAnsi="Times New Roman" w:cs="Times New Roman"/>
                <w:color w:val="000000"/>
              </w:rPr>
            </w:pPr>
          </w:p>
        </w:tc>
        <w:tc>
          <w:tcPr>
            <w:tcW w:w="1369" w:type="dxa"/>
            <w:tcBorders>
              <w:top w:val="nil"/>
              <w:left w:val="nil"/>
              <w:bottom w:val="nil"/>
              <w:right w:val="nil"/>
            </w:tcBorders>
            <w:shd w:val="clear" w:color="auto" w:fill="auto"/>
            <w:noWrap/>
            <w:vAlign w:val="bottom"/>
            <w:hideMark/>
          </w:tcPr>
          <w:p w14:paraId="392B175E" w14:textId="77777777" w:rsidR="000F7C00" w:rsidRPr="00796518" w:rsidRDefault="000F7C00" w:rsidP="00211FA3">
            <w:pPr>
              <w:spacing w:after="0" w:line="240" w:lineRule="auto"/>
              <w:rPr>
                <w:rFonts w:ascii="Times New Roman" w:eastAsia="Times New Roman" w:hAnsi="Times New Roman" w:cs="Times New Roman"/>
                <w:color w:val="000000"/>
              </w:rPr>
            </w:pPr>
            <w:r w:rsidRPr="00796518">
              <w:rPr>
                <w:rFonts w:ascii="Times New Roman" w:eastAsia="Times New Roman" w:hAnsi="Times New Roman" w:cs="Times New Roman"/>
                <w:color w:val="000000"/>
              </w:rPr>
              <w:t>(0.00142)</w:t>
            </w:r>
          </w:p>
        </w:tc>
        <w:tc>
          <w:tcPr>
            <w:tcW w:w="271" w:type="dxa"/>
            <w:tcBorders>
              <w:top w:val="nil"/>
              <w:left w:val="nil"/>
              <w:bottom w:val="nil"/>
              <w:right w:val="nil"/>
            </w:tcBorders>
            <w:shd w:val="clear" w:color="auto" w:fill="auto"/>
            <w:noWrap/>
            <w:vAlign w:val="bottom"/>
            <w:hideMark/>
          </w:tcPr>
          <w:p w14:paraId="452C36D5" w14:textId="77777777" w:rsidR="000F7C00" w:rsidRPr="00796518" w:rsidRDefault="000F7C00" w:rsidP="00211FA3">
            <w:pPr>
              <w:spacing w:after="0" w:line="240" w:lineRule="auto"/>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hideMark/>
          </w:tcPr>
          <w:p w14:paraId="4C40605F" w14:textId="064618E9" w:rsidR="000F7C00" w:rsidRPr="00796518" w:rsidRDefault="000F7C00" w:rsidP="00211FA3">
            <w:pPr>
              <w:spacing w:after="0" w:line="240" w:lineRule="auto"/>
              <w:rPr>
                <w:rFonts w:ascii="Times New Roman" w:eastAsia="Times New Roman" w:hAnsi="Times New Roman" w:cs="Times New Roman"/>
                <w:color w:val="000000"/>
              </w:rPr>
            </w:pPr>
            <w:r w:rsidRPr="00796518">
              <w:rPr>
                <w:rFonts w:ascii="Times New Roman" w:eastAsia="Times New Roman" w:hAnsi="Times New Roman" w:cs="Times New Roman"/>
                <w:color w:val="000000"/>
              </w:rPr>
              <w:t>(0.001</w:t>
            </w:r>
            <w:r w:rsidR="00C75396">
              <w:rPr>
                <w:rFonts w:ascii="Times New Roman" w:eastAsia="Times New Roman" w:hAnsi="Times New Roman" w:cs="Times New Roman"/>
                <w:color w:val="000000"/>
              </w:rPr>
              <w:t>61</w:t>
            </w:r>
            <w:r w:rsidRPr="00796518">
              <w:rPr>
                <w:rFonts w:ascii="Times New Roman" w:eastAsia="Times New Roman" w:hAnsi="Times New Roman" w:cs="Times New Roman"/>
                <w:color w:val="000000"/>
              </w:rPr>
              <w:t>)</w:t>
            </w:r>
          </w:p>
        </w:tc>
      </w:tr>
      <w:tr w:rsidR="000F7C00" w:rsidRPr="00796518" w14:paraId="324A86A1" w14:textId="77777777" w:rsidTr="00211FA3">
        <w:trPr>
          <w:trHeight w:val="290"/>
          <w:jc w:val="center"/>
        </w:trPr>
        <w:tc>
          <w:tcPr>
            <w:tcW w:w="1889" w:type="dxa"/>
            <w:tcBorders>
              <w:top w:val="nil"/>
              <w:left w:val="nil"/>
              <w:bottom w:val="nil"/>
              <w:right w:val="nil"/>
            </w:tcBorders>
            <w:shd w:val="clear" w:color="auto" w:fill="auto"/>
            <w:noWrap/>
            <w:vAlign w:val="bottom"/>
            <w:hideMark/>
          </w:tcPr>
          <w:p w14:paraId="7DF713FE" w14:textId="77777777" w:rsidR="000F7C00" w:rsidRPr="00796518" w:rsidRDefault="000F7C00" w:rsidP="00211FA3">
            <w:pPr>
              <w:spacing w:after="0" w:line="240" w:lineRule="auto"/>
              <w:rPr>
                <w:rFonts w:ascii="Times New Roman" w:eastAsia="Times New Roman" w:hAnsi="Times New Roman" w:cs="Times New Roman"/>
                <w:color w:val="000000"/>
              </w:rPr>
            </w:pPr>
            <w:r w:rsidRPr="00796518">
              <w:rPr>
                <w:rFonts w:ascii="Times New Roman" w:eastAsia="Times New Roman" w:hAnsi="Times New Roman" w:cs="Times New Roman"/>
                <w:color w:val="000000"/>
              </w:rPr>
              <w:t>Time x Post-1992</w:t>
            </w:r>
          </w:p>
        </w:tc>
        <w:tc>
          <w:tcPr>
            <w:tcW w:w="1422" w:type="dxa"/>
            <w:gridSpan w:val="2"/>
            <w:tcBorders>
              <w:top w:val="nil"/>
              <w:left w:val="nil"/>
              <w:bottom w:val="nil"/>
              <w:right w:val="nil"/>
            </w:tcBorders>
            <w:shd w:val="clear" w:color="auto" w:fill="auto"/>
            <w:noWrap/>
            <w:vAlign w:val="bottom"/>
            <w:hideMark/>
          </w:tcPr>
          <w:p w14:paraId="0AC703FE" w14:textId="1F1FB01B" w:rsidR="000F7C00" w:rsidRPr="00796518" w:rsidRDefault="000F7C00" w:rsidP="00211FA3">
            <w:pPr>
              <w:spacing w:after="0" w:line="240" w:lineRule="auto"/>
              <w:rPr>
                <w:rFonts w:ascii="Times New Roman" w:eastAsia="Times New Roman" w:hAnsi="Times New Roman" w:cs="Times New Roman"/>
                <w:color w:val="000000"/>
              </w:rPr>
            </w:pPr>
            <w:r w:rsidRPr="00796518">
              <w:rPr>
                <w:rFonts w:ascii="Times New Roman" w:eastAsia="Times New Roman" w:hAnsi="Times New Roman" w:cs="Times New Roman"/>
                <w:color w:val="000000"/>
              </w:rPr>
              <w:t>-0.012</w:t>
            </w:r>
            <w:r w:rsidR="00DE1F54">
              <w:rPr>
                <w:rFonts w:ascii="Times New Roman" w:eastAsia="Times New Roman" w:hAnsi="Times New Roman" w:cs="Times New Roman"/>
                <w:color w:val="000000"/>
              </w:rPr>
              <w:t>8</w:t>
            </w:r>
            <w:r w:rsidRPr="00796518">
              <w:rPr>
                <w:rFonts w:ascii="Times New Roman" w:eastAsia="Times New Roman" w:hAnsi="Times New Roman" w:cs="Times New Roman"/>
                <w:color w:val="000000"/>
              </w:rPr>
              <w:t>***</w:t>
            </w:r>
          </w:p>
        </w:tc>
        <w:tc>
          <w:tcPr>
            <w:tcW w:w="1640" w:type="dxa"/>
            <w:gridSpan w:val="2"/>
            <w:tcBorders>
              <w:top w:val="nil"/>
              <w:left w:val="nil"/>
              <w:bottom w:val="nil"/>
              <w:right w:val="nil"/>
            </w:tcBorders>
            <w:shd w:val="clear" w:color="auto" w:fill="auto"/>
            <w:noWrap/>
            <w:vAlign w:val="bottom"/>
            <w:hideMark/>
          </w:tcPr>
          <w:p w14:paraId="0FF0DF8C" w14:textId="77777777" w:rsidR="000F7C00" w:rsidRPr="00796518" w:rsidRDefault="000F7C00" w:rsidP="00211FA3">
            <w:pPr>
              <w:spacing w:after="0" w:line="240" w:lineRule="auto"/>
              <w:rPr>
                <w:rFonts w:ascii="Times New Roman" w:eastAsia="Times New Roman" w:hAnsi="Times New Roman" w:cs="Times New Roman"/>
                <w:color w:val="000000"/>
              </w:rPr>
            </w:pPr>
            <w:r w:rsidRPr="00796518">
              <w:rPr>
                <w:rFonts w:ascii="Times New Roman" w:eastAsia="Times New Roman" w:hAnsi="Times New Roman" w:cs="Times New Roman"/>
                <w:color w:val="000000"/>
              </w:rPr>
              <w:t>-0.00814***</w:t>
            </w:r>
          </w:p>
        </w:tc>
        <w:tc>
          <w:tcPr>
            <w:tcW w:w="1350" w:type="dxa"/>
            <w:tcBorders>
              <w:top w:val="nil"/>
              <w:left w:val="nil"/>
              <w:bottom w:val="nil"/>
              <w:right w:val="nil"/>
            </w:tcBorders>
            <w:shd w:val="clear" w:color="auto" w:fill="auto"/>
            <w:noWrap/>
            <w:vAlign w:val="bottom"/>
            <w:hideMark/>
          </w:tcPr>
          <w:p w14:paraId="26BCC126" w14:textId="66A45548" w:rsidR="000F7C00" w:rsidRPr="00796518" w:rsidRDefault="000F7C00" w:rsidP="00211FA3">
            <w:pPr>
              <w:spacing w:after="0" w:line="240" w:lineRule="auto"/>
              <w:rPr>
                <w:rFonts w:ascii="Times New Roman" w:eastAsia="Times New Roman" w:hAnsi="Times New Roman" w:cs="Times New Roman"/>
                <w:color w:val="000000"/>
              </w:rPr>
            </w:pPr>
            <w:r w:rsidRPr="00796518">
              <w:rPr>
                <w:rFonts w:ascii="Times New Roman" w:eastAsia="Times New Roman" w:hAnsi="Times New Roman" w:cs="Times New Roman"/>
                <w:color w:val="000000"/>
              </w:rPr>
              <w:t>-0.010</w:t>
            </w:r>
            <w:r w:rsidR="00C75396">
              <w:rPr>
                <w:rFonts w:ascii="Times New Roman" w:eastAsia="Times New Roman" w:hAnsi="Times New Roman" w:cs="Times New Roman"/>
                <w:color w:val="000000"/>
              </w:rPr>
              <w:t>5</w:t>
            </w:r>
            <w:r w:rsidRPr="00796518">
              <w:rPr>
                <w:rFonts w:ascii="Times New Roman" w:eastAsia="Times New Roman" w:hAnsi="Times New Roman" w:cs="Times New Roman"/>
                <w:color w:val="000000"/>
              </w:rPr>
              <w:t>***</w:t>
            </w:r>
          </w:p>
        </w:tc>
      </w:tr>
      <w:tr w:rsidR="000F7C00" w:rsidRPr="00796518" w14:paraId="2FBB6A6D" w14:textId="77777777" w:rsidTr="00211FA3">
        <w:trPr>
          <w:trHeight w:val="290"/>
          <w:jc w:val="center"/>
        </w:trPr>
        <w:tc>
          <w:tcPr>
            <w:tcW w:w="1889" w:type="dxa"/>
            <w:tcBorders>
              <w:top w:val="nil"/>
              <w:left w:val="nil"/>
              <w:bottom w:val="nil"/>
              <w:right w:val="nil"/>
            </w:tcBorders>
            <w:shd w:val="clear" w:color="auto" w:fill="auto"/>
            <w:noWrap/>
            <w:vAlign w:val="bottom"/>
            <w:hideMark/>
          </w:tcPr>
          <w:p w14:paraId="701B8E53" w14:textId="77777777" w:rsidR="000F7C00" w:rsidRPr="00796518" w:rsidRDefault="000F7C00" w:rsidP="00211FA3">
            <w:pPr>
              <w:spacing w:after="0" w:line="240" w:lineRule="auto"/>
              <w:rPr>
                <w:rFonts w:ascii="Times New Roman" w:eastAsia="Times New Roman" w:hAnsi="Times New Roman" w:cs="Times New Roman"/>
                <w:color w:val="000000"/>
              </w:rPr>
            </w:pPr>
          </w:p>
        </w:tc>
        <w:tc>
          <w:tcPr>
            <w:tcW w:w="1151" w:type="dxa"/>
            <w:tcBorders>
              <w:top w:val="nil"/>
              <w:left w:val="nil"/>
              <w:bottom w:val="nil"/>
              <w:right w:val="nil"/>
            </w:tcBorders>
            <w:shd w:val="clear" w:color="auto" w:fill="auto"/>
            <w:noWrap/>
            <w:vAlign w:val="bottom"/>
            <w:hideMark/>
          </w:tcPr>
          <w:p w14:paraId="6C2FFD10" w14:textId="58FFAA5E" w:rsidR="000F7C00" w:rsidRPr="00796518" w:rsidRDefault="000F7C00" w:rsidP="00211FA3">
            <w:pPr>
              <w:spacing w:after="0" w:line="240" w:lineRule="auto"/>
              <w:rPr>
                <w:rFonts w:ascii="Times New Roman" w:eastAsia="Times New Roman" w:hAnsi="Times New Roman" w:cs="Times New Roman"/>
                <w:color w:val="000000"/>
              </w:rPr>
            </w:pPr>
            <w:r w:rsidRPr="00796518">
              <w:rPr>
                <w:rFonts w:ascii="Times New Roman" w:eastAsia="Times New Roman" w:hAnsi="Times New Roman" w:cs="Times New Roman"/>
                <w:color w:val="000000"/>
              </w:rPr>
              <w:t>(0.001</w:t>
            </w:r>
            <w:r w:rsidR="00DE1F54">
              <w:rPr>
                <w:rFonts w:ascii="Times New Roman" w:eastAsia="Times New Roman" w:hAnsi="Times New Roman" w:cs="Times New Roman"/>
                <w:color w:val="000000"/>
              </w:rPr>
              <w:t>58</w:t>
            </w:r>
            <w:r w:rsidRPr="00796518">
              <w:rPr>
                <w:rFonts w:ascii="Times New Roman" w:eastAsia="Times New Roman" w:hAnsi="Times New Roman" w:cs="Times New Roman"/>
                <w:color w:val="000000"/>
              </w:rPr>
              <w:t>)</w:t>
            </w:r>
          </w:p>
        </w:tc>
        <w:tc>
          <w:tcPr>
            <w:tcW w:w="271" w:type="dxa"/>
            <w:tcBorders>
              <w:top w:val="nil"/>
              <w:left w:val="nil"/>
              <w:bottom w:val="nil"/>
              <w:right w:val="nil"/>
            </w:tcBorders>
            <w:shd w:val="clear" w:color="auto" w:fill="auto"/>
            <w:noWrap/>
            <w:vAlign w:val="bottom"/>
            <w:hideMark/>
          </w:tcPr>
          <w:p w14:paraId="080C32D8" w14:textId="77777777" w:rsidR="000F7C00" w:rsidRPr="00796518" w:rsidRDefault="000F7C00" w:rsidP="00211FA3">
            <w:pPr>
              <w:spacing w:after="0" w:line="240" w:lineRule="auto"/>
              <w:rPr>
                <w:rFonts w:ascii="Times New Roman" w:eastAsia="Times New Roman" w:hAnsi="Times New Roman" w:cs="Times New Roman"/>
                <w:color w:val="000000"/>
              </w:rPr>
            </w:pPr>
          </w:p>
        </w:tc>
        <w:tc>
          <w:tcPr>
            <w:tcW w:w="1369" w:type="dxa"/>
            <w:tcBorders>
              <w:top w:val="nil"/>
              <w:left w:val="nil"/>
              <w:bottom w:val="nil"/>
              <w:right w:val="nil"/>
            </w:tcBorders>
            <w:shd w:val="clear" w:color="auto" w:fill="auto"/>
            <w:noWrap/>
            <w:vAlign w:val="bottom"/>
            <w:hideMark/>
          </w:tcPr>
          <w:p w14:paraId="57074ED3" w14:textId="77777777" w:rsidR="000F7C00" w:rsidRPr="00796518" w:rsidRDefault="000F7C00" w:rsidP="00211FA3">
            <w:pPr>
              <w:spacing w:after="0" w:line="240" w:lineRule="auto"/>
              <w:rPr>
                <w:rFonts w:ascii="Times New Roman" w:eastAsia="Times New Roman" w:hAnsi="Times New Roman" w:cs="Times New Roman"/>
                <w:color w:val="000000"/>
              </w:rPr>
            </w:pPr>
            <w:r w:rsidRPr="00796518">
              <w:rPr>
                <w:rFonts w:ascii="Times New Roman" w:eastAsia="Times New Roman" w:hAnsi="Times New Roman" w:cs="Times New Roman"/>
                <w:color w:val="000000"/>
              </w:rPr>
              <w:t>(0.00110)</w:t>
            </w:r>
          </w:p>
        </w:tc>
        <w:tc>
          <w:tcPr>
            <w:tcW w:w="271" w:type="dxa"/>
            <w:tcBorders>
              <w:top w:val="nil"/>
              <w:left w:val="nil"/>
              <w:bottom w:val="nil"/>
              <w:right w:val="nil"/>
            </w:tcBorders>
            <w:shd w:val="clear" w:color="auto" w:fill="auto"/>
            <w:noWrap/>
            <w:vAlign w:val="bottom"/>
            <w:hideMark/>
          </w:tcPr>
          <w:p w14:paraId="4E67E3FF" w14:textId="77777777" w:rsidR="000F7C00" w:rsidRPr="00796518" w:rsidRDefault="000F7C00" w:rsidP="00211FA3">
            <w:pPr>
              <w:spacing w:after="0" w:line="240" w:lineRule="auto"/>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hideMark/>
          </w:tcPr>
          <w:p w14:paraId="02A28455" w14:textId="7C551EEE" w:rsidR="000F7C00" w:rsidRPr="00796518" w:rsidRDefault="000F7C00" w:rsidP="00211FA3">
            <w:pPr>
              <w:spacing w:after="0" w:line="240" w:lineRule="auto"/>
              <w:rPr>
                <w:rFonts w:ascii="Times New Roman" w:eastAsia="Times New Roman" w:hAnsi="Times New Roman" w:cs="Times New Roman"/>
                <w:color w:val="000000"/>
              </w:rPr>
            </w:pPr>
            <w:r w:rsidRPr="00796518">
              <w:rPr>
                <w:rFonts w:ascii="Times New Roman" w:eastAsia="Times New Roman" w:hAnsi="Times New Roman" w:cs="Times New Roman"/>
                <w:color w:val="000000"/>
              </w:rPr>
              <w:t>(0.000</w:t>
            </w:r>
            <w:r w:rsidR="00C75396">
              <w:rPr>
                <w:rFonts w:ascii="Times New Roman" w:eastAsia="Times New Roman" w:hAnsi="Times New Roman" w:cs="Times New Roman"/>
                <w:color w:val="000000"/>
              </w:rPr>
              <w:t>106</w:t>
            </w:r>
            <w:r w:rsidRPr="00796518">
              <w:rPr>
                <w:rFonts w:ascii="Times New Roman" w:eastAsia="Times New Roman" w:hAnsi="Times New Roman" w:cs="Times New Roman"/>
                <w:color w:val="000000"/>
              </w:rPr>
              <w:t>)</w:t>
            </w:r>
          </w:p>
        </w:tc>
      </w:tr>
      <w:tr w:rsidR="000F7C00" w:rsidRPr="00796518" w14:paraId="6B5F70EB" w14:textId="77777777" w:rsidTr="00211FA3">
        <w:trPr>
          <w:trHeight w:val="80"/>
          <w:jc w:val="center"/>
        </w:trPr>
        <w:tc>
          <w:tcPr>
            <w:tcW w:w="1889" w:type="dxa"/>
            <w:tcBorders>
              <w:top w:val="nil"/>
              <w:left w:val="nil"/>
              <w:bottom w:val="single" w:sz="4" w:space="0" w:color="auto"/>
              <w:right w:val="nil"/>
            </w:tcBorders>
            <w:shd w:val="clear" w:color="auto" w:fill="auto"/>
            <w:noWrap/>
            <w:vAlign w:val="bottom"/>
            <w:hideMark/>
          </w:tcPr>
          <w:p w14:paraId="43EE9E42" w14:textId="77777777" w:rsidR="000F7C00" w:rsidRPr="00796518" w:rsidRDefault="000F7C00" w:rsidP="00211FA3">
            <w:pPr>
              <w:spacing w:after="0" w:line="240" w:lineRule="auto"/>
              <w:rPr>
                <w:rFonts w:ascii="Times New Roman" w:eastAsia="Times New Roman" w:hAnsi="Times New Roman" w:cs="Times New Roman"/>
                <w:color w:val="000000"/>
              </w:rPr>
            </w:pPr>
            <w:r w:rsidRPr="00796518">
              <w:rPr>
                <w:rFonts w:ascii="Times New Roman" w:eastAsia="Times New Roman" w:hAnsi="Times New Roman" w:cs="Times New Roman"/>
                <w:color w:val="000000"/>
              </w:rPr>
              <w:t> </w:t>
            </w:r>
          </w:p>
        </w:tc>
        <w:tc>
          <w:tcPr>
            <w:tcW w:w="1151" w:type="dxa"/>
            <w:tcBorders>
              <w:top w:val="nil"/>
              <w:left w:val="nil"/>
              <w:bottom w:val="single" w:sz="4" w:space="0" w:color="auto"/>
              <w:right w:val="nil"/>
            </w:tcBorders>
            <w:shd w:val="clear" w:color="auto" w:fill="auto"/>
            <w:noWrap/>
            <w:vAlign w:val="bottom"/>
            <w:hideMark/>
          </w:tcPr>
          <w:p w14:paraId="343A1F79" w14:textId="77777777" w:rsidR="000F7C00" w:rsidRPr="00796518" w:rsidRDefault="000F7C00" w:rsidP="00211FA3">
            <w:pPr>
              <w:spacing w:after="0" w:line="240" w:lineRule="auto"/>
              <w:rPr>
                <w:rFonts w:ascii="Times New Roman" w:eastAsia="Times New Roman" w:hAnsi="Times New Roman" w:cs="Times New Roman"/>
                <w:color w:val="000000"/>
              </w:rPr>
            </w:pPr>
            <w:r w:rsidRPr="00796518">
              <w:rPr>
                <w:rFonts w:ascii="Times New Roman" w:eastAsia="Times New Roman" w:hAnsi="Times New Roman" w:cs="Times New Roman"/>
                <w:color w:val="000000"/>
              </w:rPr>
              <w:t> </w:t>
            </w:r>
          </w:p>
        </w:tc>
        <w:tc>
          <w:tcPr>
            <w:tcW w:w="271" w:type="dxa"/>
            <w:tcBorders>
              <w:top w:val="nil"/>
              <w:left w:val="nil"/>
              <w:bottom w:val="single" w:sz="4" w:space="0" w:color="auto"/>
              <w:right w:val="nil"/>
            </w:tcBorders>
            <w:shd w:val="clear" w:color="auto" w:fill="auto"/>
            <w:noWrap/>
            <w:vAlign w:val="bottom"/>
            <w:hideMark/>
          </w:tcPr>
          <w:p w14:paraId="34D62219" w14:textId="77777777" w:rsidR="000F7C00" w:rsidRPr="00796518" w:rsidRDefault="000F7C00" w:rsidP="00211FA3">
            <w:pPr>
              <w:spacing w:after="0" w:line="240" w:lineRule="auto"/>
              <w:rPr>
                <w:rFonts w:ascii="Times New Roman" w:eastAsia="Times New Roman" w:hAnsi="Times New Roman" w:cs="Times New Roman"/>
                <w:color w:val="000000"/>
              </w:rPr>
            </w:pPr>
            <w:r w:rsidRPr="00796518">
              <w:rPr>
                <w:rFonts w:ascii="Times New Roman" w:eastAsia="Times New Roman" w:hAnsi="Times New Roman" w:cs="Times New Roman"/>
                <w:color w:val="000000"/>
              </w:rPr>
              <w:t> </w:t>
            </w:r>
          </w:p>
        </w:tc>
        <w:tc>
          <w:tcPr>
            <w:tcW w:w="1369" w:type="dxa"/>
            <w:tcBorders>
              <w:top w:val="nil"/>
              <w:left w:val="nil"/>
              <w:bottom w:val="single" w:sz="4" w:space="0" w:color="auto"/>
              <w:right w:val="nil"/>
            </w:tcBorders>
            <w:shd w:val="clear" w:color="auto" w:fill="auto"/>
            <w:noWrap/>
            <w:vAlign w:val="bottom"/>
            <w:hideMark/>
          </w:tcPr>
          <w:p w14:paraId="15E6FB51" w14:textId="77777777" w:rsidR="000F7C00" w:rsidRPr="00796518" w:rsidRDefault="000F7C00" w:rsidP="00211FA3">
            <w:pPr>
              <w:spacing w:after="0" w:line="240" w:lineRule="auto"/>
              <w:rPr>
                <w:rFonts w:ascii="Times New Roman" w:eastAsia="Times New Roman" w:hAnsi="Times New Roman" w:cs="Times New Roman"/>
                <w:color w:val="000000"/>
              </w:rPr>
            </w:pPr>
            <w:r w:rsidRPr="00796518">
              <w:rPr>
                <w:rFonts w:ascii="Times New Roman" w:eastAsia="Times New Roman" w:hAnsi="Times New Roman" w:cs="Times New Roman"/>
                <w:color w:val="000000"/>
              </w:rPr>
              <w:t> </w:t>
            </w:r>
          </w:p>
        </w:tc>
        <w:tc>
          <w:tcPr>
            <w:tcW w:w="271" w:type="dxa"/>
            <w:tcBorders>
              <w:top w:val="nil"/>
              <w:left w:val="nil"/>
              <w:bottom w:val="single" w:sz="4" w:space="0" w:color="auto"/>
              <w:right w:val="nil"/>
            </w:tcBorders>
            <w:shd w:val="clear" w:color="auto" w:fill="auto"/>
            <w:noWrap/>
            <w:vAlign w:val="bottom"/>
            <w:hideMark/>
          </w:tcPr>
          <w:p w14:paraId="59440AEC" w14:textId="77777777" w:rsidR="000F7C00" w:rsidRPr="00796518" w:rsidRDefault="000F7C00" w:rsidP="00211FA3">
            <w:pPr>
              <w:spacing w:after="0" w:line="240" w:lineRule="auto"/>
              <w:rPr>
                <w:rFonts w:ascii="Times New Roman" w:eastAsia="Times New Roman" w:hAnsi="Times New Roman" w:cs="Times New Roman"/>
                <w:color w:val="000000"/>
              </w:rPr>
            </w:pPr>
            <w:r w:rsidRPr="00796518">
              <w:rPr>
                <w:rFonts w:ascii="Times New Roman" w:eastAsia="Times New Roman" w:hAnsi="Times New Roman" w:cs="Times New Roman"/>
                <w:color w:val="000000"/>
              </w:rPr>
              <w:t> </w:t>
            </w:r>
          </w:p>
        </w:tc>
        <w:tc>
          <w:tcPr>
            <w:tcW w:w="1350" w:type="dxa"/>
            <w:tcBorders>
              <w:top w:val="nil"/>
              <w:left w:val="nil"/>
              <w:bottom w:val="single" w:sz="4" w:space="0" w:color="auto"/>
              <w:right w:val="nil"/>
            </w:tcBorders>
            <w:shd w:val="clear" w:color="auto" w:fill="auto"/>
            <w:noWrap/>
            <w:vAlign w:val="bottom"/>
            <w:hideMark/>
          </w:tcPr>
          <w:p w14:paraId="2263D7ED" w14:textId="77777777" w:rsidR="000F7C00" w:rsidRPr="00796518" w:rsidRDefault="000F7C00" w:rsidP="00211FA3">
            <w:pPr>
              <w:spacing w:after="0" w:line="240" w:lineRule="auto"/>
              <w:rPr>
                <w:rFonts w:ascii="Times New Roman" w:eastAsia="Times New Roman" w:hAnsi="Times New Roman" w:cs="Times New Roman"/>
                <w:color w:val="000000"/>
              </w:rPr>
            </w:pPr>
            <w:r w:rsidRPr="00796518">
              <w:rPr>
                <w:rFonts w:ascii="Times New Roman" w:eastAsia="Times New Roman" w:hAnsi="Times New Roman" w:cs="Times New Roman"/>
                <w:color w:val="000000"/>
              </w:rPr>
              <w:t> </w:t>
            </w:r>
          </w:p>
        </w:tc>
      </w:tr>
      <w:tr w:rsidR="000F7C00" w:rsidRPr="00796518" w14:paraId="768E855F" w14:textId="77777777" w:rsidTr="00211FA3">
        <w:trPr>
          <w:trHeight w:val="330"/>
          <w:jc w:val="center"/>
        </w:trPr>
        <w:tc>
          <w:tcPr>
            <w:tcW w:w="1889" w:type="dxa"/>
            <w:tcBorders>
              <w:top w:val="nil"/>
              <w:left w:val="nil"/>
              <w:bottom w:val="single" w:sz="4" w:space="0" w:color="auto"/>
              <w:right w:val="nil"/>
            </w:tcBorders>
            <w:shd w:val="clear" w:color="auto" w:fill="auto"/>
            <w:noWrap/>
            <w:vAlign w:val="bottom"/>
            <w:hideMark/>
          </w:tcPr>
          <w:p w14:paraId="477BCEB2" w14:textId="77777777" w:rsidR="000F7C00" w:rsidRPr="00796518" w:rsidRDefault="000F7C00" w:rsidP="00211FA3">
            <w:pPr>
              <w:spacing w:after="0" w:line="240" w:lineRule="auto"/>
              <w:rPr>
                <w:rFonts w:ascii="Times New Roman" w:eastAsia="Times New Roman" w:hAnsi="Times New Roman" w:cs="Times New Roman"/>
                <w:color w:val="000000"/>
              </w:rPr>
            </w:pPr>
            <w:r w:rsidRPr="00796518">
              <w:rPr>
                <w:rFonts w:ascii="Times New Roman" w:eastAsia="Times New Roman" w:hAnsi="Times New Roman" w:cs="Times New Roman"/>
                <w:color w:val="000000"/>
              </w:rPr>
              <w:t>R</w:t>
            </w:r>
            <w:r w:rsidRPr="00796518">
              <w:rPr>
                <w:rFonts w:ascii="Times New Roman" w:eastAsia="Times New Roman" w:hAnsi="Times New Roman" w:cs="Times New Roman"/>
                <w:color w:val="000000"/>
                <w:vertAlign w:val="superscript"/>
              </w:rPr>
              <w:t>2</w:t>
            </w:r>
          </w:p>
        </w:tc>
        <w:tc>
          <w:tcPr>
            <w:tcW w:w="1151" w:type="dxa"/>
            <w:tcBorders>
              <w:top w:val="nil"/>
              <w:left w:val="nil"/>
              <w:bottom w:val="single" w:sz="4" w:space="0" w:color="auto"/>
              <w:right w:val="nil"/>
            </w:tcBorders>
            <w:shd w:val="clear" w:color="auto" w:fill="auto"/>
            <w:noWrap/>
            <w:vAlign w:val="bottom"/>
            <w:hideMark/>
          </w:tcPr>
          <w:p w14:paraId="73B56F15" w14:textId="2776A402" w:rsidR="000F7C00" w:rsidRPr="00796518" w:rsidRDefault="000F7C00" w:rsidP="00211FA3">
            <w:pPr>
              <w:spacing w:after="0" w:line="240" w:lineRule="auto"/>
              <w:rPr>
                <w:rFonts w:ascii="Times New Roman" w:eastAsia="Times New Roman" w:hAnsi="Times New Roman" w:cs="Times New Roman"/>
                <w:color w:val="000000"/>
              </w:rPr>
            </w:pPr>
            <w:r w:rsidRPr="00796518">
              <w:rPr>
                <w:rFonts w:ascii="Times New Roman" w:eastAsia="Times New Roman" w:hAnsi="Times New Roman" w:cs="Times New Roman"/>
                <w:color w:val="000000"/>
              </w:rPr>
              <w:t>0.96</w:t>
            </w:r>
            <w:r w:rsidR="00DE1F54">
              <w:rPr>
                <w:rFonts w:ascii="Times New Roman" w:eastAsia="Times New Roman" w:hAnsi="Times New Roman" w:cs="Times New Roman"/>
                <w:color w:val="000000"/>
              </w:rPr>
              <w:t>4</w:t>
            </w:r>
          </w:p>
        </w:tc>
        <w:tc>
          <w:tcPr>
            <w:tcW w:w="271" w:type="dxa"/>
            <w:tcBorders>
              <w:top w:val="nil"/>
              <w:left w:val="nil"/>
              <w:bottom w:val="single" w:sz="4" w:space="0" w:color="auto"/>
              <w:right w:val="nil"/>
            </w:tcBorders>
            <w:shd w:val="clear" w:color="auto" w:fill="auto"/>
            <w:noWrap/>
            <w:vAlign w:val="bottom"/>
            <w:hideMark/>
          </w:tcPr>
          <w:p w14:paraId="12737277" w14:textId="77777777" w:rsidR="000F7C00" w:rsidRPr="00796518" w:rsidRDefault="000F7C00" w:rsidP="00211FA3">
            <w:pPr>
              <w:spacing w:after="0" w:line="240" w:lineRule="auto"/>
              <w:rPr>
                <w:rFonts w:ascii="Times New Roman" w:eastAsia="Times New Roman" w:hAnsi="Times New Roman" w:cs="Times New Roman"/>
                <w:color w:val="000000"/>
              </w:rPr>
            </w:pPr>
          </w:p>
        </w:tc>
        <w:tc>
          <w:tcPr>
            <w:tcW w:w="1369" w:type="dxa"/>
            <w:tcBorders>
              <w:top w:val="nil"/>
              <w:left w:val="nil"/>
              <w:bottom w:val="single" w:sz="4" w:space="0" w:color="auto"/>
              <w:right w:val="nil"/>
            </w:tcBorders>
            <w:shd w:val="clear" w:color="auto" w:fill="auto"/>
            <w:noWrap/>
            <w:vAlign w:val="bottom"/>
            <w:hideMark/>
          </w:tcPr>
          <w:p w14:paraId="71FB0031" w14:textId="77777777" w:rsidR="000F7C00" w:rsidRPr="00796518" w:rsidRDefault="000F7C00" w:rsidP="00211FA3">
            <w:pPr>
              <w:spacing w:after="0" w:line="240" w:lineRule="auto"/>
              <w:rPr>
                <w:rFonts w:ascii="Times New Roman" w:eastAsia="Times New Roman" w:hAnsi="Times New Roman" w:cs="Times New Roman"/>
                <w:color w:val="000000"/>
              </w:rPr>
            </w:pPr>
            <w:r w:rsidRPr="00796518">
              <w:rPr>
                <w:rFonts w:ascii="Times New Roman" w:eastAsia="Times New Roman" w:hAnsi="Times New Roman" w:cs="Times New Roman"/>
                <w:color w:val="000000"/>
              </w:rPr>
              <w:t>0.970</w:t>
            </w:r>
          </w:p>
        </w:tc>
        <w:tc>
          <w:tcPr>
            <w:tcW w:w="271" w:type="dxa"/>
            <w:tcBorders>
              <w:top w:val="nil"/>
              <w:left w:val="nil"/>
              <w:bottom w:val="single" w:sz="4" w:space="0" w:color="auto"/>
              <w:right w:val="nil"/>
            </w:tcBorders>
            <w:shd w:val="clear" w:color="auto" w:fill="auto"/>
            <w:noWrap/>
            <w:vAlign w:val="bottom"/>
            <w:hideMark/>
          </w:tcPr>
          <w:p w14:paraId="45434426" w14:textId="77777777" w:rsidR="000F7C00" w:rsidRPr="00796518" w:rsidRDefault="000F7C00" w:rsidP="00211FA3">
            <w:pPr>
              <w:spacing w:after="0" w:line="240" w:lineRule="auto"/>
              <w:rPr>
                <w:rFonts w:ascii="Times New Roman" w:eastAsia="Times New Roman" w:hAnsi="Times New Roman" w:cs="Times New Roman"/>
                <w:color w:val="000000"/>
              </w:rPr>
            </w:pPr>
          </w:p>
        </w:tc>
        <w:tc>
          <w:tcPr>
            <w:tcW w:w="1350" w:type="dxa"/>
            <w:tcBorders>
              <w:top w:val="nil"/>
              <w:left w:val="nil"/>
              <w:bottom w:val="single" w:sz="4" w:space="0" w:color="auto"/>
              <w:right w:val="nil"/>
            </w:tcBorders>
            <w:shd w:val="clear" w:color="auto" w:fill="auto"/>
            <w:noWrap/>
            <w:vAlign w:val="bottom"/>
            <w:hideMark/>
          </w:tcPr>
          <w:p w14:paraId="409A3275" w14:textId="77777777" w:rsidR="000F7C00" w:rsidRPr="00796518" w:rsidRDefault="000F7C00" w:rsidP="00211FA3">
            <w:pPr>
              <w:spacing w:after="0" w:line="240" w:lineRule="auto"/>
              <w:rPr>
                <w:rFonts w:ascii="Times New Roman" w:eastAsia="Times New Roman" w:hAnsi="Times New Roman" w:cs="Times New Roman"/>
                <w:color w:val="000000"/>
              </w:rPr>
            </w:pPr>
            <w:r w:rsidRPr="00796518">
              <w:rPr>
                <w:rFonts w:ascii="Times New Roman" w:eastAsia="Times New Roman" w:hAnsi="Times New Roman" w:cs="Times New Roman"/>
                <w:color w:val="000000"/>
              </w:rPr>
              <w:t>0.978</w:t>
            </w:r>
          </w:p>
        </w:tc>
      </w:tr>
      <w:tr w:rsidR="000F7C00" w:rsidRPr="00796518" w14:paraId="07713E37" w14:textId="77777777" w:rsidTr="00211FA3">
        <w:trPr>
          <w:trHeight w:val="290"/>
          <w:jc w:val="center"/>
        </w:trPr>
        <w:tc>
          <w:tcPr>
            <w:tcW w:w="6301" w:type="dxa"/>
            <w:gridSpan w:val="6"/>
            <w:tcBorders>
              <w:top w:val="single" w:sz="4" w:space="0" w:color="auto"/>
              <w:left w:val="nil"/>
              <w:bottom w:val="nil"/>
              <w:right w:val="nil"/>
            </w:tcBorders>
            <w:shd w:val="clear" w:color="auto" w:fill="auto"/>
            <w:noWrap/>
            <w:vAlign w:val="bottom"/>
            <w:hideMark/>
          </w:tcPr>
          <w:p w14:paraId="549F89AB" w14:textId="77777777" w:rsidR="000F7C00" w:rsidRPr="00796518" w:rsidRDefault="000F7C00" w:rsidP="00211FA3">
            <w:pPr>
              <w:spacing w:after="0" w:line="240" w:lineRule="auto"/>
              <w:rPr>
                <w:rFonts w:ascii="Times New Roman" w:eastAsia="Times New Roman" w:hAnsi="Times New Roman" w:cs="Times New Roman"/>
                <w:color w:val="000000"/>
              </w:rPr>
            </w:pPr>
            <w:r w:rsidRPr="00796518">
              <w:rPr>
                <w:rFonts w:ascii="Times New Roman" w:eastAsia="Times New Roman" w:hAnsi="Times New Roman" w:cs="Times New Roman"/>
                <w:color w:val="000000"/>
              </w:rPr>
              <w:t>Standard errors in parentheses.</w:t>
            </w:r>
          </w:p>
        </w:tc>
      </w:tr>
      <w:tr w:rsidR="000F7C00" w:rsidRPr="00796518" w14:paraId="4204771E" w14:textId="77777777" w:rsidTr="00211FA3">
        <w:trPr>
          <w:trHeight w:val="290"/>
          <w:jc w:val="center"/>
        </w:trPr>
        <w:tc>
          <w:tcPr>
            <w:tcW w:w="6301" w:type="dxa"/>
            <w:gridSpan w:val="6"/>
            <w:tcBorders>
              <w:top w:val="nil"/>
              <w:left w:val="nil"/>
              <w:bottom w:val="nil"/>
              <w:right w:val="nil"/>
            </w:tcBorders>
            <w:shd w:val="clear" w:color="auto" w:fill="auto"/>
            <w:noWrap/>
            <w:vAlign w:val="bottom"/>
            <w:hideMark/>
          </w:tcPr>
          <w:p w14:paraId="1E6C7656" w14:textId="77777777" w:rsidR="000F7C00" w:rsidRPr="00796518" w:rsidRDefault="000F7C00" w:rsidP="00211FA3">
            <w:pPr>
              <w:spacing w:after="0" w:line="240" w:lineRule="auto"/>
              <w:rPr>
                <w:rFonts w:ascii="Times New Roman" w:eastAsia="Times New Roman" w:hAnsi="Times New Roman" w:cs="Times New Roman"/>
                <w:color w:val="000000"/>
              </w:rPr>
            </w:pPr>
            <w:r w:rsidRPr="00796518">
              <w:rPr>
                <w:rFonts w:ascii="Times New Roman" w:eastAsia="Times New Roman" w:hAnsi="Times New Roman" w:cs="Times New Roman"/>
                <w:color w:val="000000"/>
              </w:rPr>
              <w:t xml:space="preserve">* </w:t>
            </w:r>
            <w:r w:rsidRPr="00796518">
              <w:rPr>
                <w:rFonts w:ascii="Times New Roman" w:eastAsia="Times New Roman" w:hAnsi="Times New Roman" w:cs="Times New Roman"/>
                <w:i/>
                <w:iCs/>
                <w:color w:val="000000"/>
              </w:rPr>
              <w:t>p</w:t>
            </w:r>
            <w:r w:rsidRPr="00796518">
              <w:rPr>
                <w:rFonts w:ascii="Times New Roman" w:eastAsia="Times New Roman" w:hAnsi="Times New Roman" w:cs="Times New Roman"/>
                <w:color w:val="000000"/>
              </w:rPr>
              <w:t xml:space="preserve"> &lt; 0.1, ** </w:t>
            </w:r>
            <w:r w:rsidRPr="00796518">
              <w:rPr>
                <w:rFonts w:ascii="Times New Roman" w:eastAsia="Times New Roman" w:hAnsi="Times New Roman" w:cs="Times New Roman"/>
                <w:i/>
                <w:iCs/>
                <w:color w:val="000000"/>
              </w:rPr>
              <w:t>p</w:t>
            </w:r>
            <w:r w:rsidRPr="00796518">
              <w:rPr>
                <w:rFonts w:ascii="Times New Roman" w:eastAsia="Times New Roman" w:hAnsi="Times New Roman" w:cs="Times New Roman"/>
                <w:color w:val="000000"/>
              </w:rPr>
              <w:t xml:space="preserve"> &lt; 0.05, *** </w:t>
            </w:r>
            <w:r w:rsidRPr="00796518">
              <w:rPr>
                <w:rFonts w:ascii="Times New Roman" w:eastAsia="Times New Roman" w:hAnsi="Times New Roman" w:cs="Times New Roman"/>
                <w:i/>
                <w:iCs/>
                <w:color w:val="000000"/>
              </w:rPr>
              <w:t>p</w:t>
            </w:r>
            <w:r w:rsidRPr="00796518">
              <w:rPr>
                <w:rFonts w:ascii="Times New Roman" w:eastAsia="Times New Roman" w:hAnsi="Times New Roman" w:cs="Times New Roman"/>
                <w:color w:val="000000"/>
              </w:rPr>
              <w:t>&lt; 0.01</w:t>
            </w:r>
          </w:p>
        </w:tc>
      </w:tr>
    </w:tbl>
    <w:p w14:paraId="405A8461" w14:textId="77777777" w:rsidR="000F7C00" w:rsidRDefault="000F7C00" w:rsidP="000F7C00">
      <w:pPr>
        <w:spacing w:after="0"/>
        <w:rPr>
          <w:rFonts w:ascii="Times New Roman" w:hAnsi="Times New Roman" w:cs="Times New Roman"/>
          <w:b/>
          <w:bCs/>
          <w:sz w:val="24"/>
          <w:szCs w:val="24"/>
        </w:rPr>
      </w:pPr>
    </w:p>
    <w:p w14:paraId="6B9545D7" w14:textId="77777777" w:rsidR="000F7C00" w:rsidRDefault="000F7C00" w:rsidP="000F7C00">
      <w:pPr>
        <w:spacing w:after="0"/>
        <w:rPr>
          <w:rFonts w:ascii="Times New Roman" w:hAnsi="Times New Roman" w:cs="Times New Roman"/>
          <w:b/>
          <w:bCs/>
          <w:sz w:val="24"/>
          <w:szCs w:val="24"/>
        </w:rPr>
      </w:pPr>
    </w:p>
    <w:p w14:paraId="58A549AE" w14:textId="77777777" w:rsidR="000F7C00" w:rsidRDefault="000F7C00" w:rsidP="000F7C00">
      <w:pPr>
        <w:spacing w:after="0"/>
        <w:ind w:left="720"/>
        <w:jc w:val="center"/>
        <w:rPr>
          <w:rFonts w:ascii="Times New Roman" w:hAnsi="Times New Roman" w:cs="Times New Roman"/>
          <w:b/>
          <w:bCs/>
          <w:sz w:val="24"/>
          <w:szCs w:val="24"/>
        </w:rPr>
      </w:pPr>
    </w:p>
    <w:tbl>
      <w:tblPr>
        <w:tblW w:w="8640" w:type="dxa"/>
        <w:jc w:val="center"/>
        <w:tblLook w:val="04A0" w:firstRow="1" w:lastRow="0" w:firstColumn="1" w:lastColumn="0" w:noHBand="0" w:noVBand="1"/>
      </w:tblPr>
      <w:tblGrid>
        <w:gridCol w:w="2502"/>
        <w:gridCol w:w="1739"/>
        <w:gridCol w:w="396"/>
        <w:gridCol w:w="1740"/>
        <w:gridCol w:w="396"/>
        <w:gridCol w:w="1867"/>
      </w:tblGrid>
      <w:tr w:rsidR="000F7C00" w:rsidRPr="0024570C" w14:paraId="5B0B805A" w14:textId="77777777" w:rsidTr="00211FA3">
        <w:trPr>
          <w:trHeight w:val="290"/>
          <w:jc w:val="center"/>
        </w:trPr>
        <w:tc>
          <w:tcPr>
            <w:tcW w:w="5580" w:type="dxa"/>
            <w:gridSpan w:val="6"/>
            <w:tcBorders>
              <w:top w:val="nil"/>
              <w:left w:val="nil"/>
              <w:bottom w:val="single" w:sz="4" w:space="0" w:color="auto"/>
              <w:right w:val="nil"/>
            </w:tcBorders>
            <w:shd w:val="clear" w:color="auto" w:fill="auto"/>
            <w:noWrap/>
            <w:vAlign w:val="bottom"/>
            <w:hideMark/>
          </w:tcPr>
          <w:p w14:paraId="58088CB9" w14:textId="77777777" w:rsidR="000F7C00" w:rsidRPr="0024570C" w:rsidRDefault="000F7C00" w:rsidP="00211FA3">
            <w:pPr>
              <w:spacing w:after="0" w:line="240" w:lineRule="auto"/>
              <w:rPr>
                <w:rFonts w:ascii="Times New Roman" w:eastAsia="Times New Roman" w:hAnsi="Times New Roman" w:cs="Times New Roman"/>
                <w:b/>
                <w:bCs/>
                <w:color w:val="000000"/>
              </w:rPr>
            </w:pPr>
            <w:r w:rsidRPr="0024570C">
              <w:rPr>
                <w:rFonts w:ascii="Times New Roman" w:eastAsia="Times New Roman" w:hAnsi="Times New Roman" w:cs="Times New Roman"/>
                <w:b/>
                <w:bCs/>
                <w:color w:val="000000"/>
              </w:rPr>
              <w:t>Table C.</w:t>
            </w:r>
            <w:r>
              <w:rPr>
                <w:rFonts w:ascii="Times New Roman" w:eastAsia="Times New Roman" w:hAnsi="Times New Roman" w:cs="Times New Roman"/>
                <w:b/>
                <w:bCs/>
                <w:color w:val="000000"/>
              </w:rPr>
              <w:t>2</w:t>
            </w:r>
            <w:r w:rsidRPr="0024570C">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AA/High School</w:t>
            </w:r>
            <w:r w:rsidRPr="0024570C">
              <w:rPr>
                <w:rFonts w:ascii="Times New Roman" w:eastAsia="Times New Roman" w:hAnsi="Times New Roman" w:cs="Times New Roman"/>
                <w:b/>
                <w:bCs/>
                <w:color w:val="000000"/>
              </w:rPr>
              <w:t xml:space="preserve"> Relative Wage Response</w:t>
            </w:r>
          </w:p>
        </w:tc>
      </w:tr>
      <w:tr w:rsidR="000F7C00" w:rsidRPr="0024570C" w14:paraId="66ECF280" w14:textId="77777777" w:rsidTr="00211FA3">
        <w:trPr>
          <w:trHeight w:val="290"/>
          <w:jc w:val="center"/>
        </w:trPr>
        <w:tc>
          <w:tcPr>
            <w:tcW w:w="1715" w:type="dxa"/>
            <w:tcBorders>
              <w:top w:val="nil"/>
              <w:left w:val="nil"/>
              <w:bottom w:val="nil"/>
              <w:right w:val="nil"/>
            </w:tcBorders>
            <w:shd w:val="clear" w:color="auto" w:fill="auto"/>
            <w:noWrap/>
            <w:vAlign w:val="bottom"/>
            <w:hideMark/>
          </w:tcPr>
          <w:p w14:paraId="6347F328" w14:textId="77777777" w:rsidR="000F7C00" w:rsidRPr="0024570C" w:rsidRDefault="000F7C00" w:rsidP="00211FA3">
            <w:pPr>
              <w:spacing w:after="0" w:line="240" w:lineRule="auto"/>
              <w:rPr>
                <w:rFonts w:ascii="Times New Roman" w:eastAsia="Times New Roman" w:hAnsi="Times New Roman" w:cs="Times New Roman"/>
                <w:b/>
                <w:bCs/>
                <w:color w:val="000000"/>
              </w:rPr>
            </w:pPr>
          </w:p>
        </w:tc>
        <w:tc>
          <w:tcPr>
            <w:tcW w:w="2485" w:type="dxa"/>
            <w:gridSpan w:val="3"/>
            <w:tcBorders>
              <w:top w:val="nil"/>
              <w:left w:val="nil"/>
              <w:bottom w:val="single" w:sz="4" w:space="0" w:color="auto"/>
              <w:right w:val="nil"/>
            </w:tcBorders>
            <w:shd w:val="clear" w:color="auto" w:fill="auto"/>
            <w:noWrap/>
            <w:vAlign w:val="bottom"/>
            <w:hideMark/>
          </w:tcPr>
          <w:p w14:paraId="5A48260A" w14:textId="77777777" w:rsidR="000F7C00" w:rsidRPr="0024570C" w:rsidRDefault="000F7C00" w:rsidP="00211FA3">
            <w:pPr>
              <w:spacing w:after="0" w:line="240" w:lineRule="auto"/>
              <w:jc w:val="center"/>
              <w:rPr>
                <w:rFonts w:ascii="Times New Roman" w:eastAsia="Times New Roman" w:hAnsi="Times New Roman" w:cs="Times New Roman"/>
                <w:color w:val="000000"/>
              </w:rPr>
            </w:pPr>
            <w:r w:rsidRPr="0024570C">
              <w:rPr>
                <w:rFonts w:ascii="Times New Roman" w:eastAsia="Times New Roman" w:hAnsi="Times New Roman" w:cs="Times New Roman"/>
                <w:color w:val="000000"/>
              </w:rPr>
              <w:t>1963-20</w:t>
            </w:r>
            <w:r>
              <w:rPr>
                <w:rFonts w:ascii="Times New Roman" w:eastAsia="Times New Roman" w:hAnsi="Times New Roman" w:cs="Times New Roman"/>
                <w:color w:val="000000"/>
              </w:rPr>
              <w:t>1</w:t>
            </w:r>
            <w:r w:rsidRPr="0024570C">
              <w:rPr>
                <w:rFonts w:ascii="Times New Roman" w:eastAsia="Times New Roman" w:hAnsi="Times New Roman" w:cs="Times New Roman"/>
                <w:color w:val="000000"/>
              </w:rPr>
              <w:t>8</w:t>
            </w:r>
          </w:p>
        </w:tc>
        <w:tc>
          <w:tcPr>
            <w:tcW w:w="101" w:type="dxa"/>
            <w:tcBorders>
              <w:top w:val="nil"/>
              <w:left w:val="nil"/>
              <w:bottom w:val="nil"/>
              <w:right w:val="nil"/>
            </w:tcBorders>
            <w:shd w:val="clear" w:color="auto" w:fill="auto"/>
            <w:noWrap/>
            <w:vAlign w:val="bottom"/>
            <w:hideMark/>
          </w:tcPr>
          <w:p w14:paraId="1CE825AD" w14:textId="77777777" w:rsidR="000F7C00" w:rsidRPr="0024570C" w:rsidRDefault="000F7C00" w:rsidP="00211FA3">
            <w:pPr>
              <w:spacing w:after="0" w:line="240" w:lineRule="auto"/>
              <w:jc w:val="center"/>
              <w:rPr>
                <w:rFonts w:ascii="Times New Roman" w:eastAsia="Times New Roman" w:hAnsi="Times New Roman" w:cs="Times New Roman"/>
                <w:color w:val="000000"/>
              </w:rPr>
            </w:pPr>
          </w:p>
        </w:tc>
        <w:tc>
          <w:tcPr>
            <w:tcW w:w="1279" w:type="dxa"/>
            <w:tcBorders>
              <w:top w:val="nil"/>
              <w:left w:val="nil"/>
              <w:bottom w:val="single" w:sz="4" w:space="0" w:color="auto"/>
              <w:right w:val="nil"/>
            </w:tcBorders>
            <w:shd w:val="clear" w:color="auto" w:fill="auto"/>
            <w:noWrap/>
            <w:vAlign w:val="bottom"/>
            <w:hideMark/>
          </w:tcPr>
          <w:p w14:paraId="10FA21BC" w14:textId="77777777" w:rsidR="000F7C00" w:rsidRPr="0024570C" w:rsidRDefault="000F7C00" w:rsidP="00211FA3">
            <w:pPr>
              <w:spacing w:after="0" w:line="240" w:lineRule="auto"/>
              <w:rPr>
                <w:rFonts w:ascii="Times New Roman" w:eastAsia="Times New Roman" w:hAnsi="Times New Roman" w:cs="Times New Roman"/>
                <w:color w:val="000000"/>
              </w:rPr>
            </w:pPr>
            <w:r w:rsidRPr="0024570C">
              <w:rPr>
                <w:rFonts w:ascii="Times New Roman" w:eastAsia="Times New Roman" w:hAnsi="Times New Roman" w:cs="Times New Roman"/>
                <w:color w:val="000000"/>
              </w:rPr>
              <w:t>1979-2018</w:t>
            </w:r>
          </w:p>
        </w:tc>
      </w:tr>
      <w:tr w:rsidR="000F7C00" w:rsidRPr="0024570C" w14:paraId="04415E5B" w14:textId="77777777" w:rsidTr="00211FA3">
        <w:trPr>
          <w:trHeight w:val="290"/>
          <w:jc w:val="center"/>
        </w:trPr>
        <w:tc>
          <w:tcPr>
            <w:tcW w:w="1715" w:type="dxa"/>
            <w:tcBorders>
              <w:top w:val="nil"/>
              <w:left w:val="nil"/>
              <w:bottom w:val="single" w:sz="4" w:space="0" w:color="auto"/>
              <w:right w:val="nil"/>
            </w:tcBorders>
            <w:shd w:val="clear" w:color="auto" w:fill="auto"/>
            <w:noWrap/>
            <w:vAlign w:val="bottom"/>
            <w:hideMark/>
          </w:tcPr>
          <w:p w14:paraId="2B200419" w14:textId="77777777" w:rsidR="000F7C00" w:rsidRPr="0024570C" w:rsidRDefault="000F7C00" w:rsidP="00211FA3">
            <w:pPr>
              <w:spacing w:after="0" w:line="240" w:lineRule="auto"/>
              <w:rPr>
                <w:rFonts w:ascii="Times New Roman" w:eastAsia="Times New Roman" w:hAnsi="Times New Roman" w:cs="Times New Roman"/>
                <w:color w:val="000000"/>
              </w:rPr>
            </w:pPr>
            <w:r w:rsidRPr="0024570C">
              <w:rPr>
                <w:rFonts w:ascii="Times New Roman" w:eastAsia="Times New Roman" w:hAnsi="Times New Roman" w:cs="Times New Roman"/>
                <w:color w:val="000000"/>
              </w:rPr>
              <w:t> </w:t>
            </w:r>
          </w:p>
        </w:tc>
        <w:tc>
          <w:tcPr>
            <w:tcW w:w="1192" w:type="dxa"/>
            <w:tcBorders>
              <w:top w:val="nil"/>
              <w:left w:val="nil"/>
              <w:bottom w:val="single" w:sz="4" w:space="0" w:color="auto"/>
              <w:right w:val="nil"/>
            </w:tcBorders>
            <w:shd w:val="clear" w:color="auto" w:fill="auto"/>
            <w:noWrap/>
            <w:vAlign w:val="bottom"/>
            <w:hideMark/>
          </w:tcPr>
          <w:p w14:paraId="064A06A2" w14:textId="77777777" w:rsidR="000F7C00" w:rsidRPr="0024570C" w:rsidRDefault="000F7C00" w:rsidP="00211FA3">
            <w:pPr>
              <w:spacing w:after="0" w:line="240" w:lineRule="auto"/>
              <w:rPr>
                <w:rFonts w:ascii="Times New Roman" w:eastAsia="Times New Roman" w:hAnsi="Times New Roman" w:cs="Times New Roman"/>
                <w:color w:val="000000"/>
              </w:rPr>
            </w:pPr>
            <w:r w:rsidRPr="0024570C">
              <w:rPr>
                <w:rFonts w:ascii="Times New Roman" w:eastAsia="Times New Roman" w:hAnsi="Times New Roman" w:cs="Times New Roman"/>
                <w:color w:val="000000"/>
              </w:rPr>
              <w:t xml:space="preserve">16-64 </w:t>
            </w:r>
            <w:proofErr w:type="spellStart"/>
            <w:r w:rsidRPr="0024570C">
              <w:rPr>
                <w:rFonts w:ascii="Times New Roman" w:eastAsia="Times New Roman" w:hAnsi="Times New Roman" w:cs="Times New Roman"/>
                <w:color w:val="000000"/>
              </w:rPr>
              <w:t>y.o</w:t>
            </w:r>
            <w:proofErr w:type="spellEnd"/>
            <w:r w:rsidRPr="0024570C">
              <w:rPr>
                <w:rFonts w:ascii="Times New Roman" w:eastAsia="Times New Roman" w:hAnsi="Times New Roman" w:cs="Times New Roman"/>
                <w:color w:val="000000"/>
              </w:rPr>
              <w:t>.</w:t>
            </w:r>
          </w:p>
        </w:tc>
        <w:tc>
          <w:tcPr>
            <w:tcW w:w="101" w:type="dxa"/>
            <w:tcBorders>
              <w:top w:val="nil"/>
              <w:left w:val="nil"/>
              <w:bottom w:val="single" w:sz="4" w:space="0" w:color="auto"/>
              <w:right w:val="nil"/>
            </w:tcBorders>
            <w:shd w:val="clear" w:color="auto" w:fill="auto"/>
            <w:noWrap/>
            <w:vAlign w:val="bottom"/>
            <w:hideMark/>
          </w:tcPr>
          <w:p w14:paraId="60ED1645" w14:textId="77777777" w:rsidR="000F7C00" w:rsidRPr="0024570C" w:rsidRDefault="000F7C00" w:rsidP="00211FA3">
            <w:pPr>
              <w:spacing w:after="0" w:line="240" w:lineRule="auto"/>
              <w:rPr>
                <w:rFonts w:ascii="Times New Roman" w:eastAsia="Times New Roman" w:hAnsi="Times New Roman" w:cs="Times New Roman"/>
                <w:color w:val="000000"/>
              </w:rPr>
            </w:pPr>
            <w:r w:rsidRPr="0024570C">
              <w:rPr>
                <w:rFonts w:ascii="Times New Roman" w:eastAsia="Times New Roman" w:hAnsi="Times New Roman" w:cs="Times New Roman"/>
                <w:color w:val="000000"/>
              </w:rPr>
              <w:t> </w:t>
            </w:r>
          </w:p>
        </w:tc>
        <w:tc>
          <w:tcPr>
            <w:tcW w:w="1192" w:type="dxa"/>
            <w:tcBorders>
              <w:top w:val="nil"/>
              <w:left w:val="nil"/>
              <w:bottom w:val="single" w:sz="4" w:space="0" w:color="auto"/>
              <w:right w:val="nil"/>
            </w:tcBorders>
            <w:shd w:val="clear" w:color="auto" w:fill="auto"/>
            <w:noWrap/>
            <w:vAlign w:val="bottom"/>
            <w:hideMark/>
          </w:tcPr>
          <w:p w14:paraId="027C2F5C" w14:textId="77777777" w:rsidR="000F7C00" w:rsidRPr="0024570C" w:rsidRDefault="000F7C00" w:rsidP="00211FA3">
            <w:pPr>
              <w:spacing w:after="0" w:line="240" w:lineRule="auto"/>
              <w:rPr>
                <w:rFonts w:ascii="Times New Roman" w:eastAsia="Times New Roman" w:hAnsi="Times New Roman" w:cs="Times New Roman"/>
                <w:color w:val="000000"/>
              </w:rPr>
            </w:pPr>
            <w:r w:rsidRPr="0024570C">
              <w:rPr>
                <w:rFonts w:ascii="Times New Roman" w:eastAsia="Times New Roman" w:hAnsi="Times New Roman" w:cs="Times New Roman"/>
                <w:color w:val="000000"/>
              </w:rPr>
              <w:t xml:space="preserve">25-54 </w:t>
            </w:r>
            <w:proofErr w:type="spellStart"/>
            <w:r w:rsidRPr="0024570C">
              <w:rPr>
                <w:rFonts w:ascii="Times New Roman" w:eastAsia="Times New Roman" w:hAnsi="Times New Roman" w:cs="Times New Roman"/>
                <w:color w:val="000000"/>
              </w:rPr>
              <w:t>y.o</w:t>
            </w:r>
            <w:proofErr w:type="spellEnd"/>
            <w:r w:rsidRPr="0024570C">
              <w:rPr>
                <w:rFonts w:ascii="Times New Roman" w:eastAsia="Times New Roman" w:hAnsi="Times New Roman" w:cs="Times New Roman"/>
                <w:color w:val="000000"/>
              </w:rPr>
              <w:t>.</w:t>
            </w:r>
          </w:p>
        </w:tc>
        <w:tc>
          <w:tcPr>
            <w:tcW w:w="101" w:type="dxa"/>
            <w:tcBorders>
              <w:top w:val="nil"/>
              <w:left w:val="nil"/>
              <w:bottom w:val="single" w:sz="4" w:space="0" w:color="auto"/>
              <w:right w:val="nil"/>
            </w:tcBorders>
            <w:shd w:val="clear" w:color="auto" w:fill="auto"/>
            <w:noWrap/>
            <w:vAlign w:val="bottom"/>
            <w:hideMark/>
          </w:tcPr>
          <w:p w14:paraId="71318B2D" w14:textId="77777777" w:rsidR="000F7C00" w:rsidRPr="0024570C" w:rsidRDefault="000F7C00" w:rsidP="00211FA3">
            <w:pPr>
              <w:spacing w:after="0" w:line="240" w:lineRule="auto"/>
              <w:rPr>
                <w:rFonts w:ascii="Times New Roman" w:eastAsia="Times New Roman" w:hAnsi="Times New Roman" w:cs="Times New Roman"/>
                <w:color w:val="000000"/>
              </w:rPr>
            </w:pPr>
            <w:r w:rsidRPr="0024570C">
              <w:rPr>
                <w:rFonts w:ascii="Times New Roman" w:eastAsia="Times New Roman" w:hAnsi="Times New Roman" w:cs="Times New Roman"/>
                <w:color w:val="000000"/>
              </w:rPr>
              <w:t> </w:t>
            </w:r>
          </w:p>
        </w:tc>
        <w:tc>
          <w:tcPr>
            <w:tcW w:w="1279" w:type="dxa"/>
            <w:tcBorders>
              <w:top w:val="nil"/>
              <w:left w:val="nil"/>
              <w:bottom w:val="single" w:sz="4" w:space="0" w:color="auto"/>
              <w:right w:val="nil"/>
            </w:tcBorders>
            <w:shd w:val="clear" w:color="auto" w:fill="auto"/>
            <w:noWrap/>
            <w:vAlign w:val="bottom"/>
            <w:hideMark/>
          </w:tcPr>
          <w:p w14:paraId="14B52461" w14:textId="77777777" w:rsidR="000F7C00" w:rsidRPr="0024570C" w:rsidRDefault="000F7C00" w:rsidP="00211FA3">
            <w:pPr>
              <w:spacing w:after="0" w:line="240" w:lineRule="auto"/>
              <w:rPr>
                <w:rFonts w:ascii="Times New Roman" w:eastAsia="Times New Roman" w:hAnsi="Times New Roman" w:cs="Times New Roman"/>
                <w:color w:val="000000"/>
              </w:rPr>
            </w:pPr>
            <w:r w:rsidRPr="0024570C">
              <w:rPr>
                <w:rFonts w:ascii="Times New Roman" w:eastAsia="Times New Roman" w:hAnsi="Times New Roman" w:cs="Times New Roman"/>
                <w:color w:val="000000"/>
              </w:rPr>
              <w:t xml:space="preserve">25-54 </w:t>
            </w:r>
            <w:proofErr w:type="spellStart"/>
            <w:r w:rsidRPr="0024570C">
              <w:rPr>
                <w:rFonts w:ascii="Times New Roman" w:eastAsia="Times New Roman" w:hAnsi="Times New Roman" w:cs="Times New Roman"/>
                <w:color w:val="000000"/>
              </w:rPr>
              <w:t>y.o</w:t>
            </w:r>
            <w:proofErr w:type="spellEnd"/>
            <w:r w:rsidRPr="0024570C">
              <w:rPr>
                <w:rFonts w:ascii="Times New Roman" w:eastAsia="Times New Roman" w:hAnsi="Times New Roman" w:cs="Times New Roman"/>
                <w:color w:val="000000"/>
              </w:rPr>
              <w:t>.</w:t>
            </w:r>
          </w:p>
        </w:tc>
      </w:tr>
      <w:tr w:rsidR="000F7C00" w:rsidRPr="0024570C" w14:paraId="62D9356C" w14:textId="77777777" w:rsidTr="00211FA3">
        <w:trPr>
          <w:trHeight w:val="170"/>
          <w:jc w:val="center"/>
        </w:trPr>
        <w:tc>
          <w:tcPr>
            <w:tcW w:w="1715" w:type="dxa"/>
            <w:tcBorders>
              <w:top w:val="nil"/>
              <w:left w:val="nil"/>
              <w:bottom w:val="nil"/>
              <w:right w:val="nil"/>
            </w:tcBorders>
            <w:shd w:val="clear" w:color="auto" w:fill="auto"/>
            <w:noWrap/>
            <w:vAlign w:val="bottom"/>
            <w:hideMark/>
          </w:tcPr>
          <w:p w14:paraId="5ACD769D" w14:textId="77777777" w:rsidR="000F7C00" w:rsidRPr="0024570C" w:rsidRDefault="000F7C00" w:rsidP="00211FA3">
            <w:pPr>
              <w:spacing w:after="0" w:line="240" w:lineRule="auto"/>
              <w:rPr>
                <w:rFonts w:ascii="Times New Roman" w:eastAsia="Times New Roman" w:hAnsi="Times New Roman" w:cs="Times New Roman"/>
                <w:color w:val="000000"/>
              </w:rPr>
            </w:pPr>
          </w:p>
        </w:tc>
        <w:tc>
          <w:tcPr>
            <w:tcW w:w="1192" w:type="dxa"/>
            <w:tcBorders>
              <w:top w:val="nil"/>
              <w:left w:val="nil"/>
              <w:bottom w:val="nil"/>
              <w:right w:val="nil"/>
            </w:tcBorders>
            <w:shd w:val="clear" w:color="auto" w:fill="auto"/>
            <w:noWrap/>
            <w:vAlign w:val="bottom"/>
            <w:hideMark/>
          </w:tcPr>
          <w:p w14:paraId="174C4FA9" w14:textId="77777777" w:rsidR="000F7C00" w:rsidRPr="0024570C" w:rsidRDefault="000F7C00" w:rsidP="00211FA3">
            <w:pPr>
              <w:spacing w:after="0" w:line="240" w:lineRule="auto"/>
              <w:rPr>
                <w:rFonts w:ascii="Times New Roman" w:eastAsia="Times New Roman" w:hAnsi="Times New Roman" w:cs="Times New Roman"/>
                <w:sz w:val="20"/>
                <w:szCs w:val="20"/>
              </w:rPr>
            </w:pPr>
          </w:p>
        </w:tc>
        <w:tc>
          <w:tcPr>
            <w:tcW w:w="101" w:type="dxa"/>
            <w:tcBorders>
              <w:top w:val="nil"/>
              <w:left w:val="nil"/>
              <w:bottom w:val="nil"/>
              <w:right w:val="nil"/>
            </w:tcBorders>
            <w:shd w:val="clear" w:color="auto" w:fill="auto"/>
            <w:noWrap/>
            <w:vAlign w:val="bottom"/>
            <w:hideMark/>
          </w:tcPr>
          <w:p w14:paraId="6598CC13" w14:textId="77777777" w:rsidR="000F7C00" w:rsidRPr="0024570C" w:rsidRDefault="000F7C00" w:rsidP="00211FA3">
            <w:pPr>
              <w:spacing w:after="0" w:line="240" w:lineRule="auto"/>
              <w:rPr>
                <w:rFonts w:ascii="Times New Roman" w:eastAsia="Times New Roman" w:hAnsi="Times New Roman" w:cs="Times New Roman"/>
                <w:sz w:val="20"/>
                <w:szCs w:val="20"/>
              </w:rPr>
            </w:pPr>
          </w:p>
        </w:tc>
        <w:tc>
          <w:tcPr>
            <w:tcW w:w="1192" w:type="dxa"/>
            <w:tcBorders>
              <w:top w:val="nil"/>
              <w:left w:val="nil"/>
              <w:bottom w:val="nil"/>
              <w:right w:val="nil"/>
            </w:tcBorders>
            <w:shd w:val="clear" w:color="auto" w:fill="auto"/>
            <w:noWrap/>
            <w:vAlign w:val="bottom"/>
            <w:hideMark/>
          </w:tcPr>
          <w:p w14:paraId="31D9F242" w14:textId="77777777" w:rsidR="000F7C00" w:rsidRPr="0024570C" w:rsidRDefault="000F7C00" w:rsidP="00211FA3">
            <w:pPr>
              <w:spacing w:after="0" w:line="240" w:lineRule="auto"/>
              <w:rPr>
                <w:rFonts w:ascii="Times New Roman" w:eastAsia="Times New Roman" w:hAnsi="Times New Roman" w:cs="Times New Roman"/>
                <w:sz w:val="20"/>
                <w:szCs w:val="20"/>
              </w:rPr>
            </w:pPr>
          </w:p>
        </w:tc>
        <w:tc>
          <w:tcPr>
            <w:tcW w:w="101" w:type="dxa"/>
            <w:tcBorders>
              <w:top w:val="nil"/>
              <w:left w:val="nil"/>
              <w:bottom w:val="nil"/>
              <w:right w:val="nil"/>
            </w:tcBorders>
            <w:shd w:val="clear" w:color="auto" w:fill="auto"/>
            <w:noWrap/>
            <w:vAlign w:val="bottom"/>
            <w:hideMark/>
          </w:tcPr>
          <w:p w14:paraId="112FA366" w14:textId="77777777" w:rsidR="000F7C00" w:rsidRPr="0024570C" w:rsidRDefault="000F7C00" w:rsidP="00211FA3">
            <w:pPr>
              <w:spacing w:after="0" w:line="240" w:lineRule="auto"/>
              <w:rPr>
                <w:rFonts w:ascii="Times New Roman" w:eastAsia="Times New Roman" w:hAnsi="Times New Roman" w:cs="Times New Roman"/>
                <w:sz w:val="20"/>
                <w:szCs w:val="20"/>
              </w:rPr>
            </w:pPr>
          </w:p>
        </w:tc>
        <w:tc>
          <w:tcPr>
            <w:tcW w:w="1279" w:type="dxa"/>
            <w:tcBorders>
              <w:top w:val="nil"/>
              <w:left w:val="nil"/>
              <w:bottom w:val="nil"/>
              <w:right w:val="nil"/>
            </w:tcBorders>
            <w:shd w:val="clear" w:color="auto" w:fill="auto"/>
            <w:noWrap/>
            <w:vAlign w:val="bottom"/>
            <w:hideMark/>
          </w:tcPr>
          <w:p w14:paraId="6B9C363A" w14:textId="77777777" w:rsidR="000F7C00" w:rsidRPr="0024570C" w:rsidRDefault="000F7C00" w:rsidP="00211FA3">
            <w:pPr>
              <w:spacing w:after="0" w:line="240" w:lineRule="auto"/>
              <w:rPr>
                <w:rFonts w:ascii="Times New Roman" w:eastAsia="Times New Roman" w:hAnsi="Times New Roman" w:cs="Times New Roman"/>
                <w:sz w:val="20"/>
                <w:szCs w:val="20"/>
              </w:rPr>
            </w:pPr>
          </w:p>
        </w:tc>
      </w:tr>
      <w:tr w:rsidR="000F7C00" w:rsidRPr="0024570C" w14:paraId="19C744D4" w14:textId="77777777" w:rsidTr="00211FA3">
        <w:trPr>
          <w:trHeight w:val="290"/>
          <w:jc w:val="center"/>
        </w:trPr>
        <w:tc>
          <w:tcPr>
            <w:tcW w:w="1715" w:type="dxa"/>
            <w:tcBorders>
              <w:top w:val="nil"/>
              <w:left w:val="nil"/>
              <w:bottom w:val="nil"/>
              <w:right w:val="nil"/>
            </w:tcBorders>
            <w:shd w:val="clear" w:color="auto" w:fill="auto"/>
            <w:noWrap/>
            <w:vAlign w:val="bottom"/>
            <w:hideMark/>
          </w:tcPr>
          <w:p w14:paraId="41E34EDE" w14:textId="77777777" w:rsidR="000F7C00" w:rsidRPr="0024570C" w:rsidRDefault="000F7C00" w:rsidP="00211FA3">
            <w:pPr>
              <w:spacing w:after="0" w:line="240" w:lineRule="auto"/>
              <w:rPr>
                <w:rFonts w:ascii="Times New Roman" w:eastAsia="Times New Roman" w:hAnsi="Times New Roman" w:cs="Times New Roman"/>
                <w:color w:val="000000"/>
              </w:rPr>
            </w:pPr>
            <w:r w:rsidRPr="0024570C">
              <w:rPr>
                <w:rFonts w:ascii="Times New Roman" w:eastAsia="Times New Roman" w:hAnsi="Times New Roman" w:cs="Times New Roman"/>
                <w:color w:val="000000"/>
              </w:rPr>
              <w:t>Relative Supply</w:t>
            </w:r>
          </w:p>
        </w:tc>
        <w:tc>
          <w:tcPr>
            <w:tcW w:w="1293" w:type="dxa"/>
            <w:gridSpan w:val="2"/>
            <w:tcBorders>
              <w:top w:val="nil"/>
              <w:left w:val="nil"/>
              <w:bottom w:val="nil"/>
              <w:right w:val="nil"/>
            </w:tcBorders>
            <w:shd w:val="clear" w:color="auto" w:fill="auto"/>
            <w:noWrap/>
            <w:vAlign w:val="bottom"/>
            <w:hideMark/>
          </w:tcPr>
          <w:p w14:paraId="4855844C" w14:textId="3B730E23" w:rsidR="000F7C00" w:rsidRPr="0024570C" w:rsidRDefault="000F7C00" w:rsidP="00211FA3">
            <w:pPr>
              <w:spacing w:after="0" w:line="240" w:lineRule="auto"/>
              <w:rPr>
                <w:rFonts w:ascii="Times New Roman" w:eastAsia="Times New Roman" w:hAnsi="Times New Roman" w:cs="Times New Roman"/>
                <w:color w:val="000000"/>
              </w:rPr>
            </w:pPr>
            <w:r w:rsidRPr="0024570C">
              <w:rPr>
                <w:rFonts w:ascii="Times New Roman" w:eastAsia="Times New Roman" w:hAnsi="Times New Roman" w:cs="Times New Roman"/>
                <w:color w:val="000000"/>
              </w:rPr>
              <w:t>-0.09</w:t>
            </w:r>
            <w:r w:rsidR="008524D8">
              <w:rPr>
                <w:rFonts w:ascii="Times New Roman" w:eastAsia="Times New Roman" w:hAnsi="Times New Roman" w:cs="Times New Roman"/>
                <w:color w:val="000000"/>
              </w:rPr>
              <w:t>72</w:t>
            </w:r>
            <w:r w:rsidRPr="0024570C">
              <w:rPr>
                <w:rFonts w:ascii="Times New Roman" w:eastAsia="Times New Roman" w:hAnsi="Times New Roman" w:cs="Times New Roman"/>
                <w:color w:val="000000"/>
              </w:rPr>
              <w:t>***</w:t>
            </w:r>
          </w:p>
        </w:tc>
        <w:tc>
          <w:tcPr>
            <w:tcW w:w="1293" w:type="dxa"/>
            <w:gridSpan w:val="2"/>
            <w:tcBorders>
              <w:top w:val="nil"/>
              <w:left w:val="nil"/>
              <w:bottom w:val="nil"/>
              <w:right w:val="nil"/>
            </w:tcBorders>
            <w:shd w:val="clear" w:color="auto" w:fill="auto"/>
            <w:noWrap/>
            <w:vAlign w:val="bottom"/>
            <w:hideMark/>
          </w:tcPr>
          <w:p w14:paraId="13C135CC" w14:textId="77777777" w:rsidR="000F7C00" w:rsidRPr="0024570C" w:rsidRDefault="000F7C00" w:rsidP="00211FA3">
            <w:pPr>
              <w:spacing w:after="0" w:line="240" w:lineRule="auto"/>
              <w:rPr>
                <w:rFonts w:ascii="Times New Roman" w:eastAsia="Times New Roman" w:hAnsi="Times New Roman" w:cs="Times New Roman"/>
                <w:color w:val="000000"/>
              </w:rPr>
            </w:pPr>
            <w:r w:rsidRPr="0024570C">
              <w:rPr>
                <w:rFonts w:ascii="Times New Roman" w:eastAsia="Times New Roman" w:hAnsi="Times New Roman" w:cs="Times New Roman"/>
                <w:color w:val="000000"/>
              </w:rPr>
              <w:t>-0.0697***</w:t>
            </w:r>
          </w:p>
        </w:tc>
        <w:tc>
          <w:tcPr>
            <w:tcW w:w="1279" w:type="dxa"/>
            <w:tcBorders>
              <w:top w:val="nil"/>
              <w:left w:val="nil"/>
              <w:bottom w:val="nil"/>
              <w:right w:val="nil"/>
            </w:tcBorders>
            <w:shd w:val="clear" w:color="auto" w:fill="auto"/>
            <w:noWrap/>
            <w:vAlign w:val="bottom"/>
            <w:hideMark/>
          </w:tcPr>
          <w:p w14:paraId="763992F2" w14:textId="30E4E136" w:rsidR="000F7C00" w:rsidRPr="0024570C" w:rsidRDefault="000F7C00" w:rsidP="00211FA3">
            <w:pPr>
              <w:spacing w:after="0" w:line="240" w:lineRule="auto"/>
              <w:rPr>
                <w:rFonts w:ascii="Times New Roman" w:eastAsia="Times New Roman" w:hAnsi="Times New Roman" w:cs="Times New Roman"/>
                <w:color w:val="000000"/>
              </w:rPr>
            </w:pPr>
            <w:r w:rsidRPr="0024570C">
              <w:rPr>
                <w:rFonts w:ascii="Times New Roman" w:eastAsia="Times New Roman" w:hAnsi="Times New Roman" w:cs="Times New Roman"/>
                <w:color w:val="000000"/>
              </w:rPr>
              <w:t>-0.1</w:t>
            </w:r>
            <w:r w:rsidR="00F4204E">
              <w:rPr>
                <w:rFonts w:ascii="Times New Roman" w:eastAsia="Times New Roman" w:hAnsi="Times New Roman" w:cs="Times New Roman"/>
                <w:color w:val="000000"/>
              </w:rPr>
              <w:t>83</w:t>
            </w:r>
            <w:r w:rsidRPr="0024570C">
              <w:rPr>
                <w:rFonts w:ascii="Times New Roman" w:eastAsia="Times New Roman" w:hAnsi="Times New Roman" w:cs="Times New Roman"/>
                <w:color w:val="000000"/>
              </w:rPr>
              <w:t>***</w:t>
            </w:r>
          </w:p>
        </w:tc>
      </w:tr>
      <w:tr w:rsidR="000F7C00" w:rsidRPr="0024570C" w14:paraId="74E1D58E" w14:textId="77777777" w:rsidTr="00211FA3">
        <w:trPr>
          <w:trHeight w:val="290"/>
          <w:jc w:val="center"/>
        </w:trPr>
        <w:tc>
          <w:tcPr>
            <w:tcW w:w="1715" w:type="dxa"/>
            <w:tcBorders>
              <w:top w:val="nil"/>
              <w:left w:val="nil"/>
              <w:bottom w:val="nil"/>
              <w:right w:val="nil"/>
            </w:tcBorders>
            <w:shd w:val="clear" w:color="auto" w:fill="auto"/>
            <w:noWrap/>
            <w:vAlign w:val="bottom"/>
            <w:hideMark/>
          </w:tcPr>
          <w:p w14:paraId="0CA836AF" w14:textId="77777777" w:rsidR="000F7C00" w:rsidRPr="0024570C" w:rsidRDefault="000F7C00" w:rsidP="00211FA3">
            <w:pPr>
              <w:spacing w:after="0" w:line="240" w:lineRule="auto"/>
              <w:rPr>
                <w:rFonts w:ascii="Times New Roman" w:eastAsia="Times New Roman" w:hAnsi="Times New Roman" w:cs="Times New Roman"/>
                <w:color w:val="000000"/>
              </w:rPr>
            </w:pPr>
          </w:p>
        </w:tc>
        <w:tc>
          <w:tcPr>
            <w:tcW w:w="1192" w:type="dxa"/>
            <w:tcBorders>
              <w:top w:val="nil"/>
              <w:left w:val="nil"/>
              <w:bottom w:val="nil"/>
              <w:right w:val="nil"/>
            </w:tcBorders>
            <w:shd w:val="clear" w:color="auto" w:fill="auto"/>
            <w:noWrap/>
            <w:vAlign w:val="bottom"/>
            <w:hideMark/>
          </w:tcPr>
          <w:p w14:paraId="2C469DDC" w14:textId="77777777" w:rsidR="000F7C00" w:rsidRPr="0024570C" w:rsidRDefault="000F7C00" w:rsidP="00211FA3">
            <w:pPr>
              <w:spacing w:after="0" w:line="240" w:lineRule="auto"/>
              <w:rPr>
                <w:rFonts w:ascii="Times New Roman" w:eastAsia="Times New Roman" w:hAnsi="Times New Roman" w:cs="Times New Roman"/>
                <w:color w:val="000000"/>
              </w:rPr>
            </w:pPr>
            <w:r w:rsidRPr="0024570C">
              <w:rPr>
                <w:rFonts w:ascii="Times New Roman" w:eastAsia="Times New Roman" w:hAnsi="Times New Roman" w:cs="Times New Roman"/>
                <w:color w:val="000000"/>
              </w:rPr>
              <w:t>(0.0303)</w:t>
            </w:r>
          </w:p>
        </w:tc>
        <w:tc>
          <w:tcPr>
            <w:tcW w:w="101" w:type="dxa"/>
            <w:tcBorders>
              <w:top w:val="nil"/>
              <w:left w:val="nil"/>
              <w:bottom w:val="nil"/>
              <w:right w:val="nil"/>
            </w:tcBorders>
            <w:shd w:val="clear" w:color="auto" w:fill="auto"/>
            <w:noWrap/>
            <w:vAlign w:val="bottom"/>
            <w:hideMark/>
          </w:tcPr>
          <w:p w14:paraId="2C22C2EF" w14:textId="77777777" w:rsidR="000F7C00" w:rsidRPr="0024570C" w:rsidRDefault="000F7C00" w:rsidP="00211FA3">
            <w:pPr>
              <w:spacing w:after="0" w:line="240" w:lineRule="auto"/>
              <w:rPr>
                <w:rFonts w:ascii="Times New Roman" w:eastAsia="Times New Roman" w:hAnsi="Times New Roman" w:cs="Times New Roman"/>
                <w:color w:val="000000"/>
              </w:rPr>
            </w:pPr>
          </w:p>
        </w:tc>
        <w:tc>
          <w:tcPr>
            <w:tcW w:w="1192" w:type="dxa"/>
            <w:tcBorders>
              <w:top w:val="nil"/>
              <w:left w:val="nil"/>
              <w:bottom w:val="nil"/>
              <w:right w:val="nil"/>
            </w:tcBorders>
            <w:shd w:val="clear" w:color="auto" w:fill="auto"/>
            <w:noWrap/>
            <w:vAlign w:val="bottom"/>
            <w:hideMark/>
          </w:tcPr>
          <w:p w14:paraId="4C9D25A3" w14:textId="77777777" w:rsidR="000F7C00" w:rsidRPr="0024570C" w:rsidRDefault="000F7C00" w:rsidP="00211FA3">
            <w:pPr>
              <w:spacing w:after="0" w:line="240" w:lineRule="auto"/>
              <w:rPr>
                <w:rFonts w:ascii="Times New Roman" w:eastAsia="Times New Roman" w:hAnsi="Times New Roman" w:cs="Times New Roman"/>
                <w:color w:val="000000"/>
              </w:rPr>
            </w:pPr>
            <w:r w:rsidRPr="0024570C">
              <w:rPr>
                <w:rFonts w:ascii="Times New Roman" w:eastAsia="Times New Roman" w:hAnsi="Times New Roman" w:cs="Times New Roman"/>
                <w:color w:val="000000"/>
              </w:rPr>
              <w:t>(0.0286)</w:t>
            </w:r>
          </w:p>
        </w:tc>
        <w:tc>
          <w:tcPr>
            <w:tcW w:w="101" w:type="dxa"/>
            <w:tcBorders>
              <w:top w:val="nil"/>
              <w:left w:val="nil"/>
              <w:bottom w:val="nil"/>
              <w:right w:val="nil"/>
            </w:tcBorders>
            <w:shd w:val="clear" w:color="auto" w:fill="auto"/>
            <w:noWrap/>
            <w:vAlign w:val="bottom"/>
            <w:hideMark/>
          </w:tcPr>
          <w:p w14:paraId="43B9BDC0" w14:textId="77777777" w:rsidR="000F7C00" w:rsidRPr="0024570C" w:rsidRDefault="000F7C00" w:rsidP="00211FA3">
            <w:pPr>
              <w:spacing w:after="0" w:line="240" w:lineRule="auto"/>
              <w:rPr>
                <w:rFonts w:ascii="Times New Roman" w:eastAsia="Times New Roman" w:hAnsi="Times New Roman" w:cs="Times New Roman"/>
                <w:color w:val="000000"/>
              </w:rPr>
            </w:pPr>
          </w:p>
        </w:tc>
        <w:tc>
          <w:tcPr>
            <w:tcW w:w="1279" w:type="dxa"/>
            <w:tcBorders>
              <w:top w:val="nil"/>
              <w:left w:val="nil"/>
              <w:bottom w:val="nil"/>
              <w:right w:val="nil"/>
            </w:tcBorders>
            <w:shd w:val="clear" w:color="auto" w:fill="auto"/>
            <w:noWrap/>
            <w:vAlign w:val="bottom"/>
            <w:hideMark/>
          </w:tcPr>
          <w:p w14:paraId="47B138EE" w14:textId="1BE08422" w:rsidR="000F7C00" w:rsidRPr="0024570C" w:rsidRDefault="000F7C00" w:rsidP="00211FA3">
            <w:pPr>
              <w:spacing w:after="0" w:line="240" w:lineRule="auto"/>
              <w:rPr>
                <w:rFonts w:ascii="Times New Roman" w:eastAsia="Times New Roman" w:hAnsi="Times New Roman" w:cs="Times New Roman"/>
                <w:color w:val="000000"/>
              </w:rPr>
            </w:pPr>
            <w:r w:rsidRPr="0024570C">
              <w:rPr>
                <w:rFonts w:ascii="Times New Roman" w:eastAsia="Times New Roman" w:hAnsi="Times New Roman" w:cs="Times New Roman"/>
                <w:color w:val="000000"/>
              </w:rPr>
              <w:t>(0.0</w:t>
            </w:r>
            <w:r w:rsidR="00F4204E">
              <w:rPr>
                <w:rFonts w:ascii="Times New Roman" w:eastAsia="Times New Roman" w:hAnsi="Times New Roman" w:cs="Times New Roman"/>
                <w:color w:val="000000"/>
              </w:rPr>
              <w:t>496</w:t>
            </w:r>
            <w:r w:rsidRPr="0024570C">
              <w:rPr>
                <w:rFonts w:ascii="Times New Roman" w:eastAsia="Times New Roman" w:hAnsi="Times New Roman" w:cs="Times New Roman"/>
                <w:color w:val="000000"/>
              </w:rPr>
              <w:t>)</w:t>
            </w:r>
          </w:p>
        </w:tc>
      </w:tr>
      <w:tr w:rsidR="000F7C00" w:rsidRPr="0024570C" w14:paraId="45A5AE74" w14:textId="77777777" w:rsidTr="00211FA3">
        <w:trPr>
          <w:trHeight w:val="290"/>
          <w:jc w:val="center"/>
        </w:trPr>
        <w:tc>
          <w:tcPr>
            <w:tcW w:w="1715" w:type="dxa"/>
            <w:tcBorders>
              <w:top w:val="nil"/>
              <w:left w:val="nil"/>
              <w:bottom w:val="nil"/>
              <w:right w:val="nil"/>
            </w:tcBorders>
            <w:shd w:val="clear" w:color="auto" w:fill="auto"/>
            <w:noWrap/>
            <w:vAlign w:val="bottom"/>
            <w:hideMark/>
          </w:tcPr>
          <w:p w14:paraId="16CA9349" w14:textId="77777777" w:rsidR="000F7C00" w:rsidRPr="0024570C" w:rsidRDefault="000F7C00" w:rsidP="00211FA3">
            <w:pPr>
              <w:spacing w:after="0" w:line="240" w:lineRule="auto"/>
              <w:rPr>
                <w:rFonts w:ascii="Times New Roman" w:eastAsia="Times New Roman" w:hAnsi="Times New Roman" w:cs="Times New Roman"/>
                <w:color w:val="000000"/>
              </w:rPr>
            </w:pPr>
            <w:r w:rsidRPr="0024570C">
              <w:rPr>
                <w:rFonts w:ascii="Times New Roman" w:eastAsia="Times New Roman" w:hAnsi="Times New Roman" w:cs="Times New Roman"/>
                <w:color w:val="000000"/>
              </w:rPr>
              <w:t>Time</w:t>
            </w:r>
          </w:p>
        </w:tc>
        <w:tc>
          <w:tcPr>
            <w:tcW w:w="1293" w:type="dxa"/>
            <w:gridSpan w:val="2"/>
            <w:tcBorders>
              <w:top w:val="nil"/>
              <w:left w:val="nil"/>
              <w:bottom w:val="nil"/>
              <w:right w:val="nil"/>
            </w:tcBorders>
            <w:shd w:val="clear" w:color="auto" w:fill="auto"/>
            <w:noWrap/>
            <w:vAlign w:val="bottom"/>
            <w:hideMark/>
          </w:tcPr>
          <w:p w14:paraId="7481242B" w14:textId="66252BF2" w:rsidR="000F7C00" w:rsidRPr="0024570C" w:rsidRDefault="000F7C00" w:rsidP="00211FA3">
            <w:pPr>
              <w:spacing w:after="0" w:line="240" w:lineRule="auto"/>
              <w:rPr>
                <w:rFonts w:ascii="Times New Roman" w:eastAsia="Times New Roman" w:hAnsi="Times New Roman" w:cs="Times New Roman"/>
                <w:color w:val="000000"/>
              </w:rPr>
            </w:pPr>
            <w:r w:rsidRPr="0024570C">
              <w:rPr>
                <w:rFonts w:ascii="Times New Roman" w:eastAsia="Times New Roman" w:hAnsi="Times New Roman" w:cs="Times New Roman"/>
                <w:color w:val="000000"/>
              </w:rPr>
              <w:t>0.005</w:t>
            </w:r>
            <w:r w:rsidR="008524D8">
              <w:rPr>
                <w:rFonts w:ascii="Times New Roman" w:eastAsia="Times New Roman" w:hAnsi="Times New Roman" w:cs="Times New Roman"/>
                <w:color w:val="000000"/>
              </w:rPr>
              <w:t>10</w:t>
            </w:r>
            <w:r w:rsidRPr="0024570C">
              <w:rPr>
                <w:rFonts w:ascii="Times New Roman" w:eastAsia="Times New Roman" w:hAnsi="Times New Roman" w:cs="Times New Roman"/>
                <w:color w:val="000000"/>
              </w:rPr>
              <w:t>***</w:t>
            </w:r>
          </w:p>
        </w:tc>
        <w:tc>
          <w:tcPr>
            <w:tcW w:w="1293" w:type="dxa"/>
            <w:gridSpan w:val="2"/>
            <w:tcBorders>
              <w:top w:val="nil"/>
              <w:left w:val="nil"/>
              <w:bottom w:val="nil"/>
              <w:right w:val="nil"/>
            </w:tcBorders>
            <w:shd w:val="clear" w:color="auto" w:fill="auto"/>
            <w:noWrap/>
            <w:vAlign w:val="bottom"/>
            <w:hideMark/>
          </w:tcPr>
          <w:p w14:paraId="19557EDC" w14:textId="77777777" w:rsidR="000F7C00" w:rsidRPr="0024570C" w:rsidRDefault="000F7C00" w:rsidP="00211FA3">
            <w:pPr>
              <w:spacing w:after="0" w:line="240" w:lineRule="auto"/>
              <w:rPr>
                <w:rFonts w:ascii="Times New Roman" w:eastAsia="Times New Roman" w:hAnsi="Times New Roman" w:cs="Times New Roman"/>
                <w:color w:val="000000"/>
              </w:rPr>
            </w:pPr>
            <w:r w:rsidRPr="0024570C">
              <w:rPr>
                <w:rFonts w:ascii="Times New Roman" w:eastAsia="Times New Roman" w:hAnsi="Times New Roman" w:cs="Times New Roman"/>
                <w:color w:val="000000"/>
              </w:rPr>
              <w:t>0.00429***</w:t>
            </w:r>
          </w:p>
        </w:tc>
        <w:tc>
          <w:tcPr>
            <w:tcW w:w="1279" w:type="dxa"/>
            <w:tcBorders>
              <w:top w:val="nil"/>
              <w:left w:val="nil"/>
              <w:bottom w:val="nil"/>
              <w:right w:val="nil"/>
            </w:tcBorders>
            <w:shd w:val="clear" w:color="auto" w:fill="auto"/>
            <w:noWrap/>
            <w:vAlign w:val="bottom"/>
            <w:hideMark/>
          </w:tcPr>
          <w:p w14:paraId="7FF06D7F" w14:textId="4902E3DE" w:rsidR="000F7C00" w:rsidRPr="0024570C" w:rsidRDefault="000F7C00" w:rsidP="00211FA3">
            <w:pPr>
              <w:spacing w:after="0" w:line="240" w:lineRule="auto"/>
              <w:rPr>
                <w:rFonts w:ascii="Times New Roman" w:eastAsia="Times New Roman" w:hAnsi="Times New Roman" w:cs="Times New Roman"/>
                <w:color w:val="000000"/>
              </w:rPr>
            </w:pPr>
            <w:r w:rsidRPr="0024570C">
              <w:rPr>
                <w:rFonts w:ascii="Times New Roman" w:eastAsia="Times New Roman" w:hAnsi="Times New Roman" w:cs="Times New Roman"/>
                <w:color w:val="000000"/>
              </w:rPr>
              <w:t>0.005</w:t>
            </w:r>
            <w:r w:rsidR="00F4204E">
              <w:rPr>
                <w:rFonts w:ascii="Times New Roman" w:eastAsia="Times New Roman" w:hAnsi="Times New Roman" w:cs="Times New Roman"/>
                <w:color w:val="000000"/>
              </w:rPr>
              <w:t>71</w:t>
            </w:r>
            <w:r w:rsidRPr="0024570C">
              <w:rPr>
                <w:rFonts w:ascii="Times New Roman" w:eastAsia="Times New Roman" w:hAnsi="Times New Roman" w:cs="Times New Roman"/>
                <w:color w:val="000000"/>
              </w:rPr>
              <w:t>***</w:t>
            </w:r>
          </w:p>
        </w:tc>
      </w:tr>
      <w:tr w:rsidR="000F7C00" w:rsidRPr="0024570C" w14:paraId="06ED1F54" w14:textId="77777777" w:rsidTr="00211FA3">
        <w:trPr>
          <w:trHeight w:val="290"/>
          <w:jc w:val="center"/>
        </w:trPr>
        <w:tc>
          <w:tcPr>
            <w:tcW w:w="1715" w:type="dxa"/>
            <w:tcBorders>
              <w:top w:val="nil"/>
              <w:left w:val="nil"/>
              <w:bottom w:val="nil"/>
              <w:right w:val="nil"/>
            </w:tcBorders>
            <w:shd w:val="clear" w:color="auto" w:fill="auto"/>
            <w:noWrap/>
            <w:vAlign w:val="bottom"/>
            <w:hideMark/>
          </w:tcPr>
          <w:p w14:paraId="002261CD" w14:textId="77777777" w:rsidR="000F7C00" w:rsidRPr="0024570C" w:rsidRDefault="000F7C00" w:rsidP="00211FA3">
            <w:pPr>
              <w:spacing w:after="0" w:line="240" w:lineRule="auto"/>
              <w:rPr>
                <w:rFonts w:ascii="Times New Roman" w:eastAsia="Times New Roman" w:hAnsi="Times New Roman" w:cs="Times New Roman"/>
                <w:color w:val="000000"/>
              </w:rPr>
            </w:pPr>
          </w:p>
        </w:tc>
        <w:tc>
          <w:tcPr>
            <w:tcW w:w="1192" w:type="dxa"/>
            <w:tcBorders>
              <w:top w:val="nil"/>
              <w:left w:val="nil"/>
              <w:bottom w:val="nil"/>
              <w:right w:val="nil"/>
            </w:tcBorders>
            <w:shd w:val="clear" w:color="auto" w:fill="auto"/>
            <w:noWrap/>
            <w:vAlign w:val="bottom"/>
            <w:hideMark/>
          </w:tcPr>
          <w:p w14:paraId="420E97CA" w14:textId="77777777" w:rsidR="000F7C00" w:rsidRPr="0024570C" w:rsidRDefault="000F7C00" w:rsidP="00211FA3">
            <w:pPr>
              <w:spacing w:after="0" w:line="240" w:lineRule="auto"/>
              <w:rPr>
                <w:rFonts w:ascii="Times New Roman" w:eastAsia="Times New Roman" w:hAnsi="Times New Roman" w:cs="Times New Roman"/>
                <w:color w:val="000000"/>
              </w:rPr>
            </w:pPr>
            <w:r w:rsidRPr="0024570C">
              <w:rPr>
                <w:rFonts w:ascii="Times New Roman" w:eastAsia="Times New Roman" w:hAnsi="Times New Roman" w:cs="Times New Roman"/>
                <w:color w:val="000000"/>
              </w:rPr>
              <w:t>(0.000736)</w:t>
            </w:r>
          </w:p>
        </w:tc>
        <w:tc>
          <w:tcPr>
            <w:tcW w:w="101" w:type="dxa"/>
            <w:tcBorders>
              <w:top w:val="nil"/>
              <w:left w:val="nil"/>
              <w:bottom w:val="nil"/>
              <w:right w:val="nil"/>
            </w:tcBorders>
            <w:shd w:val="clear" w:color="auto" w:fill="auto"/>
            <w:noWrap/>
            <w:vAlign w:val="bottom"/>
            <w:hideMark/>
          </w:tcPr>
          <w:p w14:paraId="44E20191" w14:textId="77777777" w:rsidR="000F7C00" w:rsidRPr="0024570C" w:rsidRDefault="000F7C00" w:rsidP="00211FA3">
            <w:pPr>
              <w:spacing w:after="0" w:line="240" w:lineRule="auto"/>
              <w:rPr>
                <w:rFonts w:ascii="Times New Roman" w:eastAsia="Times New Roman" w:hAnsi="Times New Roman" w:cs="Times New Roman"/>
                <w:color w:val="000000"/>
              </w:rPr>
            </w:pPr>
          </w:p>
        </w:tc>
        <w:tc>
          <w:tcPr>
            <w:tcW w:w="1192" w:type="dxa"/>
            <w:tcBorders>
              <w:top w:val="nil"/>
              <w:left w:val="nil"/>
              <w:bottom w:val="nil"/>
              <w:right w:val="nil"/>
            </w:tcBorders>
            <w:shd w:val="clear" w:color="auto" w:fill="auto"/>
            <w:noWrap/>
            <w:vAlign w:val="bottom"/>
            <w:hideMark/>
          </w:tcPr>
          <w:p w14:paraId="2D62F018" w14:textId="77777777" w:rsidR="000F7C00" w:rsidRPr="0024570C" w:rsidRDefault="000F7C00" w:rsidP="00211FA3">
            <w:pPr>
              <w:spacing w:after="0" w:line="240" w:lineRule="auto"/>
              <w:rPr>
                <w:rFonts w:ascii="Times New Roman" w:eastAsia="Times New Roman" w:hAnsi="Times New Roman" w:cs="Times New Roman"/>
                <w:color w:val="000000"/>
              </w:rPr>
            </w:pPr>
            <w:r w:rsidRPr="0024570C">
              <w:rPr>
                <w:rFonts w:ascii="Times New Roman" w:eastAsia="Times New Roman" w:hAnsi="Times New Roman" w:cs="Times New Roman"/>
                <w:color w:val="000000"/>
              </w:rPr>
              <w:t>(0.000698)</w:t>
            </w:r>
          </w:p>
        </w:tc>
        <w:tc>
          <w:tcPr>
            <w:tcW w:w="101" w:type="dxa"/>
            <w:tcBorders>
              <w:top w:val="nil"/>
              <w:left w:val="nil"/>
              <w:bottom w:val="nil"/>
              <w:right w:val="nil"/>
            </w:tcBorders>
            <w:shd w:val="clear" w:color="auto" w:fill="auto"/>
            <w:noWrap/>
            <w:vAlign w:val="bottom"/>
            <w:hideMark/>
          </w:tcPr>
          <w:p w14:paraId="47A18915" w14:textId="77777777" w:rsidR="000F7C00" w:rsidRPr="0024570C" w:rsidRDefault="000F7C00" w:rsidP="00211FA3">
            <w:pPr>
              <w:spacing w:after="0" w:line="240" w:lineRule="auto"/>
              <w:rPr>
                <w:rFonts w:ascii="Times New Roman" w:eastAsia="Times New Roman" w:hAnsi="Times New Roman" w:cs="Times New Roman"/>
                <w:color w:val="000000"/>
              </w:rPr>
            </w:pPr>
          </w:p>
        </w:tc>
        <w:tc>
          <w:tcPr>
            <w:tcW w:w="1279" w:type="dxa"/>
            <w:tcBorders>
              <w:top w:val="nil"/>
              <w:left w:val="nil"/>
              <w:bottom w:val="nil"/>
              <w:right w:val="nil"/>
            </w:tcBorders>
            <w:shd w:val="clear" w:color="auto" w:fill="auto"/>
            <w:noWrap/>
            <w:vAlign w:val="bottom"/>
            <w:hideMark/>
          </w:tcPr>
          <w:p w14:paraId="1B14C598" w14:textId="034680FA" w:rsidR="000F7C00" w:rsidRPr="0024570C" w:rsidRDefault="000F7C00" w:rsidP="00211FA3">
            <w:pPr>
              <w:spacing w:after="0" w:line="240" w:lineRule="auto"/>
              <w:rPr>
                <w:rFonts w:ascii="Times New Roman" w:eastAsia="Times New Roman" w:hAnsi="Times New Roman" w:cs="Times New Roman"/>
                <w:color w:val="000000"/>
              </w:rPr>
            </w:pPr>
            <w:r w:rsidRPr="0024570C">
              <w:rPr>
                <w:rFonts w:ascii="Times New Roman" w:eastAsia="Times New Roman" w:hAnsi="Times New Roman" w:cs="Times New Roman"/>
                <w:color w:val="000000"/>
              </w:rPr>
              <w:t>(0.000</w:t>
            </w:r>
            <w:r w:rsidR="00F4204E">
              <w:rPr>
                <w:rFonts w:ascii="Times New Roman" w:eastAsia="Times New Roman" w:hAnsi="Times New Roman" w:cs="Times New Roman"/>
                <w:color w:val="000000"/>
              </w:rPr>
              <w:t>882</w:t>
            </w:r>
            <w:r w:rsidRPr="0024570C">
              <w:rPr>
                <w:rFonts w:ascii="Times New Roman" w:eastAsia="Times New Roman" w:hAnsi="Times New Roman" w:cs="Times New Roman"/>
                <w:color w:val="000000"/>
              </w:rPr>
              <w:t>)</w:t>
            </w:r>
          </w:p>
        </w:tc>
      </w:tr>
      <w:tr w:rsidR="000F7C00" w:rsidRPr="0024570C" w14:paraId="3F090ADC" w14:textId="77777777" w:rsidTr="00211FA3">
        <w:trPr>
          <w:trHeight w:val="80"/>
          <w:jc w:val="center"/>
        </w:trPr>
        <w:tc>
          <w:tcPr>
            <w:tcW w:w="1715" w:type="dxa"/>
            <w:tcBorders>
              <w:top w:val="nil"/>
              <w:left w:val="nil"/>
              <w:bottom w:val="single" w:sz="4" w:space="0" w:color="auto"/>
              <w:right w:val="nil"/>
            </w:tcBorders>
            <w:shd w:val="clear" w:color="auto" w:fill="auto"/>
            <w:noWrap/>
            <w:vAlign w:val="bottom"/>
            <w:hideMark/>
          </w:tcPr>
          <w:p w14:paraId="51D79B74" w14:textId="77777777" w:rsidR="000F7C00" w:rsidRPr="0024570C" w:rsidRDefault="000F7C00" w:rsidP="00211FA3">
            <w:pPr>
              <w:spacing w:after="0" w:line="240" w:lineRule="auto"/>
              <w:rPr>
                <w:rFonts w:ascii="Times New Roman" w:eastAsia="Times New Roman" w:hAnsi="Times New Roman" w:cs="Times New Roman"/>
                <w:color w:val="000000"/>
              </w:rPr>
            </w:pPr>
            <w:r w:rsidRPr="0024570C">
              <w:rPr>
                <w:rFonts w:ascii="Times New Roman" w:eastAsia="Times New Roman" w:hAnsi="Times New Roman" w:cs="Times New Roman"/>
                <w:color w:val="000000"/>
              </w:rPr>
              <w:t> </w:t>
            </w:r>
          </w:p>
        </w:tc>
        <w:tc>
          <w:tcPr>
            <w:tcW w:w="1192" w:type="dxa"/>
            <w:tcBorders>
              <w:top w:val="nil"/>
              <w:left w:val="nil"/>
              <w:bottom w:val="single" w:sz="4" w:space="0" w:color="auto"/>
              <w:right w:val="nil"/>
            </w:tcBorders>
            <w:shd w:val="clear" w:color="auto" w:fill="auto"/>
            <w:noWrap/>
            <w:vAlign w:val="bottom"/>
            <w:hideMark/>
          </w:tcPr>
          <w:p w14:paraId="577384FC" w14:textId="77777777" w:rsidR="000F7C00" w:rsidRPr="0024570C" w:rsidRDefault="000F7C00" w:rsidP="00211FA3">
            <w:pPr>
              <w:spacing w:after="0" w:line="240" w:lineRule="auto"/>
              <w:rPr>
                <w:rFonts w:ascii="Times New Roman" w:eastAsia="Times New Roman" w:hAnsi="Times New Roman" w:cs="Times New Roman"/>
                <w:color w:val="000000"/>
              </w:rPr>
            </w:pPr>
            <w:r w:rsidRPr="0024570C">
              <w:rPr>
                <w:rFonts w:ascii="Times New Roman" w:eastAsia="Times New Roman" w:hAnsi="Times New Roman" w:cs="Times New Roman"/>
                <w:color w:val="000000"/>
              </w:rPr>
              <w:t> </w:t>
            </w:r>
          </w:p>
        </w:tc>
        <w:tc>
          <w:tcPr>
            <w:tcW w:w="101" w:type="dxa"/>
            <w:tcBorders>
              <w:top w:val="nil"/>
              <w:left w:val="nil"/>
              <w:bottom w:val="single" w:sz="4" w:space="0" w:color="auto"/>
              <w:right w:val="nil"/>
            </w:tcBorders>
            <w:shd w:val="clear" w:color="auto" w:fill="auto"/>
            <w:noWrap/>
            <w:vAlign w:val="bottom"/>
            <w:hideMark/>
          </w:tcPr>
          <w:p w14:paraId="05C19B35" w14:textId="77777777" w:rsidR="000F7C00" w:rsidRPr="0024570C" w:rsidRDefault="000F7C00" w:rsidP="00211FA3">
            <w:pPr>
              <w:spacing w:after="0" w:line="240" w:lineRule="auto"/>
              <w:rPr>
                <w:rFonts w:ascii="Times New Roman" w:eastAsia="Times New Roman" w:hAnsi="Times New Roman" w:cs="Times New Roman"/>
                <w:color w:val="000000"/>
              </w:rPr>
            </w:pPr>
            <w:r w:rsidRPr="0024570C">
              <w:rPr>
                <w:rFonts w:ascii="Times New Roman" w:eastAsia="Times New Roman" w:hAnsi="Times New Roman" w:cs="Times New Roman"/>
                <w:color w:val="000000"/>
              </w:rPr>
              <w:t> </w:t>
            </w:r>
          </w:p>
        </w:tc>
        <w:tc>
          <w:tcPr>
            <w:tcW w:w="1192" w:type="dxa"/>
            <w:tcBorders>
              <w:top w:val="nil"/>
              <w:left w:val="nil"/>
              <w:bottom w:val="single" w:sz="4" w:space="0" w:color="auto"/>
              <w:right w:val="nil"/>
            </w:tcBorders>
            <w:shd w:val="clear" w:color="auto" w:fill="auto"/>
            <w:noWrap/>
            <w:vAlign w:val="bottom"/>
            <w:hideMark/>
          </w:tcPr>
          <w:p w14:paraId="6F6BE3B1" w14:textId="77777777" w:rsidR="000F7C00" w:rsidRPr="0024570C" w:rsidRDefault="000F7C00" w:rsidP="00211FA3">
            <w:pPr>
              <w:spacing w:after="0" w:line="240" w:lineRule="auto"/>
              <w:rPr>
                <w:rFonts w:ascii="Times New Roman" w:eastAsia="Times New Roman" w:hAnsi="Times New Roman" w:cs="Times New Roman"/>
                <w:color w:val="000000"/>
              </w:rPr>
            </w:pPr>
            <w:r w:rsidRPr="0024570C">
              <w:rPr>
                <w:rFonts w:ascii="Times New Roman" w:eastAsia="Times New Roman" w:hAnsi="Times New Roman" w:cs="Times New Roman"/>
                <w:color w:val="000000"/>
              </w:rPr>
              <w:t> </w:t>
            </w:r>
          </w:p>
        </w:tc>
        <w:tc>
          <w:tcPr>
            <w:tcW w:w="101" w:type="dxa"/>
            <w:tcBorders>
              <w:top w:val="nil"/>
              <w:left w:val="nil"/>
              <w:bottom w:val="single" w:sz="4" w:space="0" w:color="auto"/>
              <w:right w:val="nil"/>
            </w:tcBorders>
            <w:shd w:val="clear" w:color="auto" w:fill="auto"/>
            <w:noWrap/>
            <w:vAlign w:val="bottom"/>
            <w:hideMark/>
          </w:tcPr>
          <w:p w14:paraId="190AFA49" w14:textId="77777777" w:rsidR="000F7C00" w:rsidRPr="0024570C" w:rsidRDefault="000F7C00" w:rsidP="00211FA3">
            <w:pPr>
              <w:spacing w:after="0" w:line="240" w:lineRule="auto"/>
              <w:rPr>
                <w:rFonts w:ascii="Times New Roman" w:eastAsia="Times New Roman" w:hAnsi="Times New Roman" w:cs="Times New Roman"/>
                <w:color w:val="000000"/>
              </w:rPr>
            </w:pPr>
            <w:r w:rsidRPr="0024570C">
              <w:rPr>
                <w:rFonts w:ascii="Times New Roman" w:eastAsia="Times New Roman" w:hAnsi="Times New Roman" w:cs="Times New Roman"/>
                <w:color w:val="000000"/>
              </w:rPr>
              <w:t> </w:t>
            </w:r>
          </w:p>
        </w:tc>
        <w:tc>
          <w:tcPr>
            <w:tcW w:w="1279" w:type="dxa"/>
            <w:tcBorders>
              <w:top w:val="nil"/>
              <w:left w:val="nil"/>
              <w:bottom w:val="single" w:sz="4" w:space="0" w:color="auto"/>
              <w:right w:val="nil"/>
            </w:tcBorders>
            <w:shd w:val="clear" w:color="auto" w:fill="auto"/>
            <w:noWrap/>
            <w:vAlign w:val="bottom"/>
            <w:hideMark/>
          </w:tcPr>
          <w:p w14:paraId="55307518" w14:textId="77777777" w:rsidR="000F7C00" w:rsidRPr="0024570C" w:rsidRDefault="000F7C00" w:rsidP="00211FA3">
            <w:pPr>
              <w:spacing w:after="0" w:line="240" w:lineRule="auto"/>
              <w:rPr>
                <w:rFonts w:ascii="Times New Roman" w:eastAsia="Times New Roman" w:hAnsi="Times New Roman" w:cs="Times New Roman"/>
                <w:color w:val="000000"/>
              </w:rPr>
            </w:pPr>
            <w:r w:rsidRPr="0024570C">
              <w:rPr>
                <w:rFonts w:ascii="Times New Roman" w:eastAsia="Times New Roman" w:hAnsi="Times New Roman" w:cs="Times New Roman"/>
                <w:color w:val="000000"/>
              </w:rPr>
              <w:t> </w:t>
            </w:r>
          </w:p>
        </w:tc>
      </w:tr>
      <w:tr w:rsidR="000F7C00" w:rsidRPr="0024570C" w14:paraId="27605C39" w14:textId="77777777" w:rsidTr="00211FA3">
        <w:trPr>
          <w:trHeight w:val="330"/>
          <w:jc w:val="center"/>
        </w:trPr>
        <w:tc>
          <w:tcPr>
            <w:tcW w:w="1715" w:type="dxa"/>
            <w:tcBorders>
              <w:top w:val="nil"/>
              <w:left w:val="nil"/>
              <w:bottom w:val="single" w:sz="4" w:space="0" w:color="auto"/>
              <w:right w:val="nil"/>
            </w:tcBorders>
            <w:shd w:val="clear" w:color="auto" w:fill="auto"/>
            <w:noWrap/>
            <w:vAlign w:val="bottom"/>
            <w:hideMark/>
          </w:tcPr>
          <w:p w14:paraId="58F27E66" w14:textId="77777777" w:rsidR="000F7C00" w:rsidRPr="0024570C" w:rsidRDefault="000F7C00" w:rsidP="00211FA3">
            <w:pPr>
              <w:spacing w:after="0" w:line="240" w:lineRule="auto"/>
              <w:rPr>
                <w:rFonts w:ascii="Times New Roman" w:eastAsia="Times New Roman" w:hAnsi="Times New Roman" w:cs="Times New Roman"/>
                <w:color w:val="000000"/>
              </w:rPr>
            </w:pPr>
            <w:r w:rsidRPr="0024570C">
              <w:rPr>
                <w:rFonts w:ascii="Times New Roman" w:eastAsia="Times New Roman" w:hAnsi="Times New Roman" w:cs="Times New Roman"/>
                <w:color w:val="000000"/>
              </w:rPr>
              <w:t>R</w:t>
            </w:r>
            <w:r w:rsidRPr="0024570C">
              <w:rPr>
                <w:rFonts w:ascii="Times New Roman" w:eastAsia="Times New Roman" w:hAnsi="Times New Roman" w:cs="Times New Roman"/>
                <w:color w:val="000000"/>
                <w:vertAlign w:val="superscript"/>
              </w:rPr>
              <w:t>2</w:t>
            </w:r>
          </w:p>
        </w:tc>
        <w:tc>
          <w:tcPr>
            <w:tcW w:w="1192" w:type="dxa"/>
            <w:tcBorders>
              <w:top w:val="nil"/>
              <w:left w:val="nil"/>
              <w:bottom w:val="single" w:sz="4" w:space="0" w:color="auto"/>
              <w:right w:val="nil"/>
            </w:tcBorders>
            <w:shd w:val="clear" w:color="auto" w:fill="auto"/>
            <w:noWrap/>
            <w:vAlign w:val="bottom"/>
            <w:hideMark/>
          </w:tcPr>
          <w:p w14:paraId="69E7FF25" w14:textId="77777777" w:rsidR="000F7C00" w:rsidRPr="0024570C" w:rsidRDefault="000F7C00" w:rsidP="00211FA3">
            <w:pPr>
              <w:spacing w:after="0" w:line="240" w:lineRule="auto"/>
              <w:rPr>
                <w:rFonts w:ascii="Times New Roman" w:eastAsia="Times New Roman" w:hAnsi="Times New Roman" w:cs="Times New Roman"/>
                <w:color w:val="000000"/>
              </w:rPr>
            </w:pPr>
            <w:r w:rsidRPr="0024570C">
              <w:rPr>
                <w:rFonts w:ascii="Times New Roman" w:eastAsia="Times New Roman" w:hAnsi="Times New Roman" w:cs="Times New Roman"/>
                <w:color w:val="000000"/>
              </w:rPr>
              <w:t>0.837</w:t>
            </w:r>
          </w:p>
        </w:tc>
        <w:tc>
          <w:tcPr>
            <w:tcW w:w="101" w:type="dxa"/>
            <w:tcBorders>
              <w:top w:val="nil"/>
              <w:left w:val="nil"/>
              <w:bottom w:val="single" w:sz="4" w:space="0" w:color="auto"/>
              <w:right w:val="nil"/>
            </w:tcBorders>
            <w:shd w:val="clear" w:color="auto" w:fill="auto"/>
            <w:noWrap/>
            <w:vAlign w:val="bottom"/>
            <w:hideMark/>
          </w:tcPr>
          <w:p w14:paraId="04342475" w14:textId="77777777" w:rsidR="000F7C00" w:rsidRPr="0024570C" w:rsidRDefault="000F7C00" w:rsidP="00211FA3">
            <w:pPr>
              <w:spacing w:after="0" w:line="240" w:lineRule="auto"/>
              <w:rPr>
                <w:rFonts w:ascii="Times New Roman" w:eastAsia="Times New Roman" w:hAnsi="Times New Roman" w:cs="Times New Roman"/>
                <w:color w:val="000000"/>
              </w:rPr>
            </w:pPr>
            <w:r w:rsidRPr="0024570C">
              <w:rPr>
                <w:rFonts w:ascii="Times New Roman" w:eastAsia="Times New Roman" w:hAnsi="Times New Roman" w:cs="Times New Roman"/>
                <w:color w:val="000000"/>
              </w:rPr>
              <w:t> </w:t>
            </w:r>
          </w:p>
        </w:tc>
        <w:tc>
          <w:tcPr>
            <w:tcW w:w="1192" w:type="dxa"/>
            <w:tcBorders>
              <w:top w:val="nil"/>
              <w:left w:val="nil"/>
              <w:bottom w:val="single" w:sz="4" w:space="0" w:color="auto"/>
              <w:right w:val="nil"/>
            </w:tcBorders>
            <w:shd w:val="clear" w:color="auto" w:fill="auto"/>
            <w:noWrap/>
            <w:vAlign w:val="bottom"/>
            <w:hideMark/>
          </w:tcPr>
          <w:p w14:paraId="5F675333" w14:textId="77777777" w:rsidR="000F7C00" w:rsidRPr="0024570C" w:rsidRDefault="000F7C00" w:rsidP="00211FA3">
            <w:pPr>
              <w:spacing w:after="0" w:line="240" w:lineRule="auto"/>
              <w:rPr>
                <w:rFonts w:ascii="Times New Roman" w:eastAsia="Times New Roman" w:hAnsi="Times New Roman" w:cs="Times New Roman"/>
                <w:color w:val="000000"/>
              </w:rPr>
            </w:pPr>
            <w:r w:rsidRPr="0024570C">
              <w:rPr>
                <w:rFonts w:ascii="Times New Roman" w:eastAsia="Times New Roman" w:hAnsi="Times New Roman" w:cs="Times New Roman"/>
                <w:color w:val="000000"/>
              </w:rPr>
              <w:t>0.801</w:t>
            </w:r>
          </w:p>
        </w:tc>
        <w:tc>
          <w:tcPr>
            <w:tcW w:w="101" w:type="dxa"/>
            <w:tcBorders>
              <w:top w:val="nil"/>
              <w:left w:val="nil"/>
              <w:bottom w:val="single" w:sz="4" w:space="0" w:color="auto"/>
              <w:right w:val="nil"/>
            </w:tcBorders>
            <w:shd w:val="clear" w:color="auto" w:fill="auto"/>
            <w:noWrap/>
            <w:vAlign w:val="bottom"/>
            <w:hideMark/>
          </w:tcPr>
          <w:p w14:paraId="19EFBC4C" w14:textId="77777777" w:rsidR="000F7C00" w:rsidRPr="0024570C" w:rsidRDefault="000F7C00" w:rsidP="00211FA3">
            <w:pPr>
              <w:spacing w:after="0" w:line="240" w:lineRule="auto"/>
              <w:rPr>
                <w:rFonts w:ascii="Times New Roman" w:eastAsia="Times New Roman" w:hAnsi="Times New Roman" w:cs="Times New Roman"/>
                <w:color w:val="000000"/>
              </w:rPr>
            </w:pPr>
            <w:r w:rsidRPr="0024570C">
              <w:rPr>
                <w:rFonts w:ascii="Times New Roman" w:eastAsia="Times New Roman" w:hAnsi="Times New Roman" w:cs="Times New Roman"/>
                <w:color w:val="000000"/>
              </w:rPr>
              <w:t> </w:t>
            </w:r>
          </w:p>
        </w:tc>
        <w:tc>
          <w:tcPr>
            <w:tcW w:w="1279" w:type="dxa"/>
            <w:tcBorders>
              <w:top w:val="nil"/>
              <w:left w:val="nil"/>
              <w:bottom w:val="single" w:sz="4" w:space="0" w:color="auto"/>
              <w:right w:val="nil"/>
            </w:tcBorders>
            <w:shd w:val="clear" w:color="auto" w:fill="auto"/>
            <w:noWrap/>
            <w:vAlign w:val="bottom"/>
            <w:hideMark/>
          </w:tcPr>
          <w:p w14:paraId="1D177140" w14:textId="77777777" w:rsidR="000F7C00" w:rsidRPr="0024570C" w:rsidRDefault="000F7C00" w:rsidP="00211FA3">
            <w:pPr>
              <w:spacing w:after="0" w:line="240" w:lineRule="auto"/>
              <w:rPr>
                <w:rFonts w:ascii="Times New Roman" w:eastAsia="Times New Roman" w:hAnsi="Times New Roman" w:cs="Times New Roman"/>
                <w:color w:val="000000"/>
              </w:rPr>
            </w:pPr>
            <w:r w:rsidRPr="0024570C">
              <w:rPr>
                <w:rFonts w:ascii="Times New Roman" w:eastAsia="Times New Roman" w:hAnsi="Times New Roman" w:cs="Times New Roman"/>
                <w:color w:val="000000"/>
              </w:rPr>
              <w:t>0.733</w:t>
            </w:r>
          </w:p>
        </w:tc>
      </w:tr>
      <w:tr w:rsidR="000F7C00" w:rsidRPr="0024570C" w14:paraId="4F84915A" w14:textId="77777777" w:rsidTr="00211FA3">
        <w:trPr>
          <w:trHeight w:val="290"/>
          <w:jc w:val="center"/>
        </w:trPr>
        <w:tc>
          <w:tcPr>
            <w:tcW w:w="5580" w:type="dxa"/>
            <w:gridSpan w:val="6"/>
            <w:tcBorders>
              <w:top w:val="single" w:sz="4" w:space="0" w:color="auto"/>
              <w:left w:val="nil"/>
              <w:bottom w:val="nil"/>
              <w:right w:val="nil"/>
            </w:tcBorders>
            <w:shd w:val="clear" w:color="auto" w:fill="auto"/>
            <w:noWrap/>
            <w:vAlign w:val="bottom"/>
            <w:hideMark/>
          </w:tcPr>
          <w:p w14:paraId="36BEC47C" w14:textId="77777777" w:rsidR="000F7C00" w:rsidRPr="0024570C" w:rsidRDefault="000F7C00" w:rsidP="00211FA3">
            <w:pPr>
              <w:spacing w:after="0" w:line="240" w:lineRule="auto"/>
              <w:rPr>
                <w:rFonts w:ascii="Times New Roman" w:eastAsia="Times New Roman" w:hAnsi="Times New Roman" w:cs="Times New Roman"/>
                <w:color w:val="000000"/>
              </w:rPr>
            </w:pPr>
            <w:r w:rsidRPr="0024570C">
              <w:rPr>
                <w:rFonts w:ascii="Times New Roman" w:eastAsia="Times New Roman" w:hAnsi="Times New Roman" w:cs="Times New Roman"/>
                <w:color w:val="000000"/>
              </w:rPr>
              <w:t>Standard errors in parentheses.</w:t>
            </w:r>
          </w:p>
        </w:tc>
      </w:tr>
      <w:tr w:rsidR="000F7C00" w:rsidRPr="0024570C" w14:paraId="5B3A3DB0" w14:textId="77777777" w:rsidTr="00211FA3">
        <w:trPr>
          <w:trHeight w:val="290"/>
          <w:jc w:val="center"/>
        </w:trPr>
        <w:tc>
          <w:tcPr>
            <w:tcW w:w="5580" w:type="dxa"/>
            <w:gridSpan w:val="6"/>
            <w:tcBorders>
              <w:top w:val="nil"/>
              <w:left w:val="nil"/>
              <w:bottom w:val="nil"/>
              <w:right w:val="nil"/>
            </w:tcBorders>
            <w:shd w:val="clear" w:color="auto" w:fill="auto"/>
            <w:noWrap/>
            <w:vAlign w:val="bottom"/>
            <w:hideMark/>
          </w:tcPr>
          <w:p w14:paraId="2BC90E67" w14:textId="77777777" w:rsidR="000F7C00" w:rsidRPr="0024570C" w:rsidRDefault="000F7C00" w:rsidP="00211FA3">
            <w:pPr>
              <w:spacing w:after="0" w:line="240" w:lineRule="auto"/>
              <w:rPr>
                <w:rFonts w:ascii="Times New Roman" w:eastAsia="Times New Roman" w:hAnsi="Times New Roman" w:cs="Times New Roman"/>
                <w:color w:val="000000"/>
              </w:rPr>
            </w:pPr>
            <w:r w:rsidRPr="0024570C">
              <w:rPr>
                <w:rFonts w:ascii="Times New Roman" w:eastAsia="Times New Roman" w:hAnsi="Times New Roman" w:cs="Times New Roman"/>
                <w:color w:val="000000"/>
              </w:rPr>
              <w:t xml:space="preserve">* </w:t>
            </w:r>
            <w:r w:rsidRPr="0024570C">
              <w:rPr>
                <w:rFonts w:ascii="Times New Roman" w:eastAsia="Times New Roman" w:hAnsi="Times New Roman" w:cs="Times New Roman"/>
                <w:i/>
                <w:iCs/>
                <w:color w:val="000000"/>
              </w:rPr>
              <w:t>p</w:t>
            </w:r>
            <w:r w:rsidRPr="0024570C">
              <w:rPr>
                <w:rFonts w:ascii="Times New Roman" w:eastAsia="Times New Roman" w:hAnsi="Times New Roman" w:cs="Times New Roman"/>
                <w:color w:val="000000"/>
              </w:rPr>
              <w:t xml:space="preserve"> &lt; 0.1, ** </w:t>
            </w:r>
            <w:r w:rsidRPr="0024570C">
              <w:rPr>
                <w:rFonts w:ascii="Times New Roman" w:eastAsia="Times New Roman" w:hAnsi="Times New Roman" w:cs="Times New Roman"/>
                <w:i/>
                <w:iCs/>
                <w:color w:val="000000"/>
              </w:rPr>
              <w:t>p</w:t>
            </w:r>
            <w:r w:rsidRPr="0024570C">
              <w:rPr>
                <w:rFonts w:ascii="Times New Roman" w:eastAsia="Times New Roman" w:hAnsi="Times New Roman" w:cs="Times New Roman"/>
                <w:color w:val="000000"/>
              </w:rPr>
              <w:t xml:space="preserve"> &lt; 0.05, *** </w:t>
            </w:r>
            <w:r w:rsidRPr="0024570C">
              <w:rPr>
                <w:rFonts w:ascii="Times New Roman" w:eastAsia="Times New Roman" w:hAnsi="Times New Roman" w:cs="Times New Roman"/>
                <w:i/>
                <w:iCs/>
                <w:color w:val="000000"/>
              </w:rPr>
              <w:t>p</w:t>
            </w:r>
            <w:r w:rsidRPr="0024570C">
              <w:rPr>
                <w:rFonts w:ascii="Times New Roman" w:eastAsia="Times New Roman" w:hAnsi="Times New Roman" w:cs="Times New Roman"/>
                <w:color w:val="000000"/>
              </w:rPr>
              <w:t>&lt; 0.01</w:t>
            </w:r>
          </w:p>
        </w:tc>
      </w:tr>
    </w:tbl>
    <w:p w14:paraId="645D7296" w14:textId="77777777" w:rsidR="000F7C00" w:rsidRPr="00EA3C7E" w:rsidRDefault="000F7C00" w:rsidP="000F7C00">
      <w:pPr>
        <w:spacing w:after="0"/>
        <w:ind w:left="720"/>
        <w:jc w:val="center"/>
        <w:rPr>
          <w:rFonts w:ascii="Times New Roman" w:hAnsi="Times New Roman" w:cs="Times New Roman"/>
          <w:b/>
          <w:bCs/>
          <w:sz w:val="24"/>
          <w:szCs w:val="24"/>
        </w:rPr>
      </w:pPr>
    </w:p>
    <w:p w14:paraId="7001C2AD" w14:textId="77777777" w:rsidR="000F7C00" w:rsidRPr="00616D4F" w:rsidRDefault="000F7C00" w:rsidP="000F7C00">
      <w:pPr>
        <w:ind w:left="720"/>
        <w:rPr>
          <w:rFonts w:ascii="Times New Roman" w:hAnsi="Times New Roman" w:cs="Times New Roman"/>
          <w:sz w:val="24"/>
          <w:szCs w:val="24"/>
        </w:rPr>
      </w:pPr>
    </w:p>
    <w:p w14:paraId="0E964D0E" w14:textId="77777777" w:rsidR="000F7C00" w:rsidRDefault="000F7C00" w:rsidP="000F7C00"/>
    <w:p w14:paraId="3716BC45" w14:textId="77777777" w:rsidR="000F7C00" w:rsidRDefault="000F7C00" w:rsidP="000F7C00">
      <w:pPr>
        <w:rPr>
          <w:rFonts w:ascii="Times New Roman" w:eastAsia="Times New Roman" w:hAnsi="Times New Roman" w:cs="Times New Roman"/>
          <w:b/>
          <w:color w:val="000000"/>
          <w:sz w:val="24"/>
          <w:szCs w:val="24"/>
        </w:rPr>
      </w:pPr>
    </w:p>
    <w:p w14:paraId="0785F0EB" w14:textId="06B11DE0" w:rsidR="00813EB4" w:rsidRDefault="00813EB4" w:rsidP="0060309F">
      <w:pPr>
        <w:rPr>
          <w:rFonts w:ascii="Times New Roman" w:eastAsia="Times New Roman" w:hAnsi="Times New Roman" w:cs="Times New Roman"/>
          <w:b/>
          <w:color w:val="000000"/>
          <w:sz w:val="24"/>
          <w:szCs w:val="24"/>
        </w:rPr>
      </w:pPr>
    </w:p>
    <w:sectPr w:rsidR="00813EB4" w:rsidSect="004D0F0A">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2B1DB" w14:textId="77777777" w:rsidR="00B761B5" w:rsidRDefault="00B761B5" w:rsidP="00201389">
      <w:pPr>
        <w:spacing w:after="0" w:line="240" w:lineRule="auto"/>
      </w:pPr>
      <w:r>
        <w:separator/>
      </w:r>
    </w:p>
  </w:endnote>
  <w:endnote w:type="continuationSeparator" w:id="0">
    <w:p w14:paraId="2C97474F" w14:textId="77777777" w:rsidR="00B761B5" w:rsidRDefault="00B761B5" w:rsidP="00201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Universal-GreekwithMathPi">
    <w:altName w:val="Calibri"/>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911134"/>
      <w:docPartObj>
        <w:docPartGallery w:val="Page Numbers (Bottom of Page)"/>
        <w:docPartUnique/>
      </w:docPartObj>
    </w:sdtPr>
    <w:sdtEndPr>
      <w:rPr>
        <w:noProof/>
      </w:rPr>
    </w:sdtEndPr>
    <w:sdtContent>
      <w:p w14:paraId="7B20C87D" w14:textId="257CFB36" w:rsidR="004B26C9" w:rsidRDefault="004B26C9">
        <w:pPr>
          <w:pStyle w:val="Footer"/>
          <w:jc w:val="right"/>
        </w:pPr>
        <w:r>
          <w:fldChar w:fldCharType="begin"/>
        </w:r>
        <w:r>
          <w:instrText xml:space="preserve"> PAGE   \* MERGEFORMAT </w:instrText>
        </w:r>
        <w:r>
          <w:fldChar w:fldCharType="separate"/>
        </w:r>
        <w:r w:rsidR="007F63BE">
          <w:rPr>
            <w:noProof/>
          </w:rPr>
          <w:t>2</w:t>
        </w:r>
        <w:r>
          <w:rPr>
            <w:noProof/>
          </w:rPr>
          <w:fldChar w:fldCharType="end"/>
        </w:r>
      </w:p>
    </w:sdtContent>
  </w:sdt>
  <w:p w14:paraId="328CF745" w14:textId="77777777" w:rsidR="004B26C9" w:rsidRDefault="004B26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254070"/>
      <w:docPartObj>
        <w:docPartGallery w:val="Page Numbers (Bottom of Page)"/>
        <w:docPartUnique/>
      </w:docPartObj>
    </w:sdtPr>
    <w:sdtEndPr>
      <w:rPr>
        <w:noProof/>
      </w:rPr>
    </w:sdtEndPr>
    <w:sdtContent>
      <w:p w14:paraId="6971C6ED" w14:textId="674A5D70" w:rsidR="004B26C9" w:rsidRDefault="004B26C9">
        <w:pPr>
          <w:pStyle w:val="Footer"/>
          <w:jc w:val="right"/>
        </w:pPr>
        <w:r>
          <w:fldChar w:fldCharType="begin"/>
        </w:r>
        <w:r>
          <w:instrText xml:space="preserve"> PAGE   \* MERGEFORMAT </w:instrText>
        </w:r>
        <w:r>
          <w:fldChar w:fldCharType="separate"/>
        </w:r>
        <w:r w:rsidR="007F63BE">
          <w:rPr>
            <w:noProof/>
          </w:rPr>
          <w:t>42</w:t>
        </w:r>
        <w:r>
          <w:rPr>
            <w:noProof/>
          </w:rPr>
          <w:fldChar w:fldCharType="end"/>
        </w:r>
      </w:p>
    </w:sdtContent>
  </w:sdt>
  <w:p w14:paraId="4CE9748C" w14:textId="77777777" w:rsidR="004B26C9" w:rsidRDefault="004B2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78B52" w14:textId="77777777" w:rsidR="00B761B5" w:rsidRDefault="00B761B5" w:rsidP="00201389">
      <w:pPr>
        <w:spacing w:after="0" w:line="240" w:lineRule="auto"/>
      </w:pPr>
      <w:r>
        <w:separator/>
      </w:r>
    </w:p>
  </w:footnote>
  <w:footnote w:type="continuationSeparator" w:id="0">
    <w:p w14:paraId="0568212C" w14:textId="77777777" w:rsidR="00B761B5" w:rsidRDefault="00B761B5" w:rsidP="00201389">
      <w:pPr>
        <w:spacing w:after="0" w:line="240" w:lineRule="auto"/>
      </w:pPr>
      <w:r>
        <w:continuationSeparator/>
      </w:r>
    </w:p>
  </w:footnote>
  <w:footnote w:id="1">
    <w:p w14:paraId="5496973A" w14:textId="43118454" w:rsidR="004B26C9" w:rsidRDefault="004B26C9">
      <w:pPr>
        <w:pStyle w:val="FootnoteText"/>
      </w:pPr>
      <w:r w:rsidRPr="001D3751">
        <w:rPr>
          <w:rStyle w:val="FootnoteReference"/>
        </w:rPr>
        <w:footnoteRef/>
      </w:r>
      <w:r w:rsidRPr="001D3751">
        <w:t xml:space="preserve"> </w:t>
      </w:r>
      <w:r w:rsidRPr="001D3751">
        <w:rPr>
          <w:rFonts w:ascii="Times New Roman" w:hAnsi="Times New Roman" w:cs="Times New Roman"/>
        </w:rPr>
        <w:t>Th</w:t>
      </w:r>
      <w:r>
        <w:rPr>
          <w:rFonts w:ascii="Times New Roman" w:hAnsi="Times New Roman" w:cs="Times New Roman"/>
        </w:rPr>
        <w:t>is</w:t>
      </w:r>
      <w:r w:rsidRPr="001D3751">
        <w:rPr>
          <w:rFonts w:ascii="Times New Roman" w:hAnsi="Times New Roman" w:cs="Times New Roman"/>
        </w:rPr>
        <w:t xml:space="preserve"> wage </w:t>
      </w:r>
      <w:r w:rsidRPr="001D3751">
        <w:rPr>
          <w:rStyle w:val="highlight"/>
          <w:rFonts w:ascii="Times New Roman" w:hAnsi="Times New Roman" w:cs="Times New Roman"/>
        </w:rPr>
        <w:t>premium</w:t>
      </w:r>
      <w:r w:rsidRPr="001D3751">
        <w:rPr>
          <w:rFonts w:ascii="Times New Roman" w:hAnsi="Times New Roman" w:cs="Times New Roman"/>
        </w:rPr>
        <w:t xml:space="preserve"> </w:t>
      </w:r>
      <w:r>
        <w:rPr>
          <w:rFonts w:ascii="Times New Roman" w:hAnsi="Times New Roman" w:cs="Times New Roman"/>
        </w:rPr>
        <w:t xml:space="preserve">calculation holds constant relative shares </w:t>
      </w:r>
      <w:r w:rsidRPr="001D3751">
        <w:rPr>
          <w:rFonts w:ascii="Times New Roman" w:hAnsi="Times New Roman" w:cs="Times New Roman"/>
        </w:rPr>
        <w:t xml:space="preserve">of sex-education-experience groups (two sexes, six education categories, and four potential experience categories), </w:t>
      </w:r>
      <w:r>
        <w:rPr>
          <w:rFonts w:ascii="Times New Roman" w:hAnsi="Times New Roman" w:cs="Times New Roman"/>
        </w:rPr>
        <w:t>as relevant for the populations of interest, and roughly follows the</w:t>
      </w:r>
      <w:r w:rsidRPr="001D3751">
        <w:rPr>
          <w:rFonts w:ascii="Times New Roman" w:hAnsi="Times New Roman" w:cs="Times New Roman"/>
        </w:rPr>
        <w:t xml:space="preserve"> methodology </w:t>
      </w:r>
      <w:r>
        <w:rPr>
          <w:rFonts w:ascii="Times New Roman" w:hAnsi="Times New Roman" w:cs="Times New Roman"/>
        </w:rPr>
        <w:t>of</w:t>
      </w:r>
      <w:r w:rsidRPr="001D3751">
        <w:rPr>
          <w:rFonts w:ascii="Times New Roman" w:hAnsi="Times New Roman" w:cs="Times New Roman"/>
        </w:rPr>
        <w:t xml:space="preserve"> </w:t>
      </w:r>
      <w:proofErr w:type="spellStart"/>
      <w:r w:rsidRPr="001D3751">
        <w:rPr>
          <w:rFonts w:ascii="Times New Roman" w:hAnsi="Times New Roman" w:cs="Times New Roman"/>
        </w:rPr>
        <w:t>Autor</w:t>
      </w:r>
      <w:proofErr w:type="spellEnd"/>
      <w:r w:rsidRPr="001D3751">
        <w:rPr>
          <w:rFonts w:ascii="Times New Roman" w:hAnsi="Times New Roman" w:cs="Times New Roman"/>
        </w:rPr>
        <w:t xml:space="preserve">, Katz, and Kearney (2008) and </w:t>
      </w:r>
      <w:proofErr w:type="spellStart"/>
      <w:r w:rsidRPr="001D3751">
        <w:rPr>
          <w:rFonts w:ascii="Times New Roman" w:hAnsi="Times New Roman" w:cs="Times New Roman"/>
        </w:rPr>
        <w:t>Acemoglu</w:t>
      </w:r>
      <w:proofErr w:type="spellEnd"/>
      <w:r w:rsidRPr="001D3751">
        <w:rPr>
          <w:rFonts w:ascii="Times New Roman" w:hAnsi="Times New Roman" w:cs="Times New Roman"/>
        </w:rPr>
        <w:t xml:space="preserve"> and </w:t>
      </w:r>
      <w:proofErr w:type="spellStart"/>
      <w:r w:rsidRPr="001D3751">
        <w:rPr>
          <w:rFonts w:ascii="Times New Roman" w:hAnsi="Times New Roman" w:cs="Times New Roman"/>
        </w:rPr>
        <w:t>Autor</w:t>
      </w:r>
      <w:proofErr w:type="spellEnd"/>
      <w:r w:rsidRPr="001D3751">
        <w:rPr>
          <w:rFonts w:ascii="Times New Roman" w:hAnsi="Times New Roman" w:cs="Times New Roman"/>
        </w:rPr>
        <w:t xml:space="preserve"> (2011). See appendix for further details.</w:t>
      </w:r>
    </w:p>
  </w:footnote>
  <w:footnote w:id="2">
    <w:p w14:paraId="1FF5E87E" w14:textId="3A393756" w:rsidR="004B26C9" w:rsidRPr="00677E1E" w:rsidRDefault="004B26C9">
      <w:pPr>
        <w:pStyle w:val="FootnoteText"/>
      </w:pPr>
      <w:r>
        <w:rPr>
          <w:rStyle w:val="FootnoteReference"/>
        </w:rPr>
        <w:footnoteRef/>
      </w:r>
      <w:r>
        <w:t xml:space="preserve"> </w:t>
      </w:r>
      <w:r>
        <w:rPr>
          <w:rFonts w:ascii="Times New Roman" w:hAnsi="Times New Roman" w:cs="Times New Roman"/>
        </w:rPr>
        <w:t xml:space="preserve">This point has been suggested in </w:t>
      </w:r>
      <w:r w:rsidRPr="00E82EC4">
        <w:rPr>
          <w:rFonts w:ascii="Times New Roman" w:hAnsi="Times New Roman" w:cs="Times New Roman"/>
        </w:rPr>
        <w:t xml:space="preserve">related papers, including but not limited to Goldin and Margo (1992), Katz and Murphy (1992), </w:t>
      </w:r>
      <w:r>
        <w:rPr>
          <w:rFonts w:ascii="Times New Roman" w:hAnsi="Times New Roman" w:cs="Times New Roman"/>
        </w:rPr>
        <w:t xml:space="preserve">and </w:t>
      </w:r>
      <w:r w:rsidRPr="00E82EC4">
        <w:rPr>
          <w:rFonts w:ascii="Times New Roman" w:hAnsi="Times New Roman" w:cs="Times New Roman"/>
        </w:rPr>
        <w:t>Card and Lemie</w:t>
      </w:r>
      <w:r>
        <w:rPr>
          <w:rFonts w:ascii="Times New Roman" w:hAnsi="Times New Roman" w:cs="Times New Roman"/>
        </w:rPr>
        <w:t>u</w:t>
      </w:r>
      <w:r w:rsidRPr="00E82EC4">
        <w:rPr>
          <w:rFonts w:ascii="Times New Roman" w:hAnsi="Times New Roman" w:cs="Times New Roman"/>
        </w:rPr>
        <w:t>x (2001)</w:t>
      </w:r>
      <w:r>
        <w:rPr>
          <w:rFonts w:ascii="Times New Roman" w:hAnsi="Times New Roman" w:cs="Times New Roman"/>
        </w:rPr>
        <w:t>.</w:t>
      </w:r>
    </w:p>
  </w:footnote>
  <w:footnote w:id="3">
    <w:p w14:paraId="76FF9772" w14:textId="6AAFA62D" w:rsidR="004B26C9" w:rsidRPr="00423C4A" w:rsidRDefault="004B26C9">
      <w:pPr>
        <w:pStyle w:val="FootnoteText"/>
        <w:rPr>
          <w:rFonts w:ascii="Times New Roman" w:hAnsi="Times New Roman" w:cs="Times New Roman"/>
        </w:rPr>
      </w:pPr>
      <w:r w:rsidRPr="00423C4A">
        <w:rPr>
          <w:rStyle w:val="FootnoteReference"/>
          <w:rFonts w:ascii="Times New Roman" w:hAnsi="Times New Roman" w:cs="Times New Roman"/>
        </w:rPr>
        <w:footnoteRef/>
      </w:r>
      <w:r w:rsidRPr="00423C4A">
        <w:rPr>
          <w:rFonts w:ascii="Times New Roman" w:hAnsi="Times New Roman" w:cs="Times New Roman"/>
        </w:rPr>
        <w:t xml:space="preserve"> This paper builds on a 2015 policy memo that </w:t>
      </w:r>
      <w:proofErr w:type="spellStart"/>
      <w:r w:rsidRPr="00423C4A">
        <w:rPr>
          <w:rFonts w:ascii="Times New Roman" w:hAnsi="Times New Roman" w:cs="Times New Roman"/>
        </w:rPr>
        <w:t>Hershbein</w:t>
      </w:r>
      <w:proofErr w:type="spellEnd"/>
      <w:r w:rsidRPr="00423C4A">
        <w:rPr>
          <w:rFonts w:ascii="Times New Roman" w:hAnsi="Times New Roman" w:cs="Times New Roman"/>
        </w:rPr>
        <w:t xml:space="preserve"> and Kearney wrote with Larry Summers and posted on the Hamilton Project website (</w:t>
      </w:r>
      <w:proofErr w:type="spellStart"/>
      <w:r w:rsidR="00B761B5">
        <w:fldChar w:fldCharType="begin"/>
      </w:r>
      <w:r w:rsidR="00B761B5">
        <w:instrText xml:space="preserve"> HYPERLINK "https://www.brookings.edu/blog/up-front/2015/03/31/increasing-education-what-it-will-and-will-not-do-for-earnings-and-earnings-inequality/" </w:instrText>
      </w:r>
      <w:r w:rsidR="00B761B5">
        <w:fldChar w:fldCharType="separate"/>
      </w:r>
      <w:r w:rsidRPr="006B2B53">
        <w:rPr>
          <w:rStyle w:val="Hyperlink"/>
          <w:rFonts w:ascii="Times New Roman" w:hAnsi="Times New Roman" w:cs="Times New Roman"/>
        </w:rPr>
        <w:t>Hershbein</w:t>
      </w:r>
      <w:proofErr w:type="spellEnd"/>
      <w:r w:rsidRPr="006B2B53">
        <w:rPr>
          <w:rStyle w:val="Hyperlink"/>
          <w:rFonts w:ascii="Times New Roman" w:hAnsi="Times New Roman" w:cs="Times New Roman"/>
        </w:rPr>
        <w:t xml:space="preserve">, Kearney, and </w:t>
      </w:r>
      <w:proofErr w:type="gramStart"/>
      <w:r w:rsidRPr="006B2B53">
        <w:rPr>
          <w:rStyle w:val="Hyperlink"/>
          <w:rFonts w:ascii="Times New Roman" w:hAnsi="Times New Roman" w:cs="Times New Roman"/>
        </w:rPr>
        <w:t>Summers</w:t>
      </w:r>
      <w:proofErr w:type="gramEnd"/>
      <w:r w:rsidRPr="006B2B53">
        <w:rPr>
          <w:rStyle w:val="Hyperlink"/>
          <w:rFonts w:ascii="Times New Roman" w:hAnsi="Times New Roman" w:cs="Times New Roman"/>
        </w:rPr>
        <w:t>, 2015</w:t>
      </w:r>
      <w:r w:rsidR="00B761B5">
        <w:rPr>
          <w:rStyle w:val="Hyperlink"/>
          <w:rFonts w:ascii="Times New Roman" w:hAnsi="Times New Roman" w:cs="Times New Roman"/>
        </w:rPr>
        <w:fldChar w:fldCharType="end"/>
      </w:r>
      <w:r w:rsidRPr="00423C4A">
        <w:rPr>
          <w:rFonts w:ascii="Times New Roman" w:hAnsi="Times New Roman" w:cs="Times New Roman"/>
        </w:rPr>
        <w:t xml:space="preserve">). </w:t>
      </w:r>
      <w:r>
        <w:rPr>
          <w:rFonts w:ascii="Times New Roman" w:hAnsi="Times New Roman" w:cs="Times New Roman"/>
        </w:rPr>
        <w:t>That memo described</w:t>
      </w:r>
      <w:r w:rsidRPr="00423C4A">
        <w:rPr>
          <w:rFonts w:ascii="Times New Roman" w:hAnsi="Times New Roman" w:cs="Times New Roman"/>
        </w:rPr>
        <w:t xml:space="preserve"> </w:t>
      </w:r>
      <w:r>
        <w:rPr>
          <w:rFonts w:ascii="Times New Roman" w:hAnsi="Times New Roman" w:cs="Times New Roman"/>
        </w:rPr>
        <w:t xml:space="preserve">the results of simulating </w:t>
      </w:r>
      <w:r w:rsidRPr="00423C4A">
        <w:rPr>
          <w:rFonts w:ascii="Times New Roman" w:hAnsi="Times New Roman" w:cs="Times New Roman"/>
        </w:rPr>
        <w:t>how the distribution of earnings would change if one of every ten men aged 25</w:t>
      </w:r>
      <w:r w:rsidRPr="00423C4A">
        <w:rPr>
          <w:rFonts w:ascii="Times New Roman" w:hAnsi="Times New Roman" w:cs="Times New Roman"/>
        </w:rPr>
        <w:sym w:font="Symbol" w:char="F02D"/>
      </w:r>
      <w:r w:rsidRPr="00423C4A">
        <w:rPr>
          <w:rFonts w:ascii="Times New Roman" w:hAnsi="Times New Roman" w:cs="Times New Roman"/>
        </w:rPr>
        <w:t xml:space="preserve">64 without </w:t>
      </w:r>
      <w:r>
        <w:rPr>
          <w:rFonts w:ascii="Times New Roman" w:hAnsi="Times New Roman" w:cs="Times New Roman"/>
        </w:rPr>
        <w:t xml:space="preserve">a bachelor’s degree were to be assigned one, with a random draw from the earnings distribution of existing bachelor’s-degree holders. </w:t>
      </w:r>
      <w:r w:rsidRPr="00423C4A">
        <w:rPr>
          <w:rFonts w:ascii="Times New Roman" w:hAnsi="Times New Roman" w:cs="Times New Roman"/>
        </w:rPr>
        <w:t>In this paper, we expand on that earlier analysis by including men and women, considering increased attainment of both associate and bachelor’s degrees, using both a random distribution method and a causal parameter assignment method, examining multiple thresholds of increased educational attainment, and using current data</w:t>
      </w:r>
      <w:r>
        <w:rPr>
          <w:rFonts w:ascii="Times New Roman" w:hAnsi="Times New Roman" w:cs="Times New Roman"/>
        </w:rPr>
        <w:t>.</w:t>
      </w:r>
      <w:r w:rsidRPr="00423C4A">
        <w:rPr>
          <w:rFonts w:ascii="Times New Roman" w:hAnsi="Times New Roman" w:cs="Times New Roman"/>
        </w:rPr>
        <w:t xml:space="preserve"> </w:t>
      </w:r>
    </w:p>
  </w:footnote>
  <w:footnote w:id="4">
    <w:p w14:paraId="17FC3764" w14:textId="5092F7E7" w:rsidR="004B26C9" w:rsidRPr="001921B9" w:rsidRDefault="004B26C9">
      <w:pPr>
        <w:pStyle w:val="FootnoteText"/>
        <w:rPr>
          <w:rFonts w:ascii="Times New Roman" w:hAnsi="Times New Roman" w:cs="Times New Roman"/>
        </w:rPr>
      </w:pPr>
      <w:r w:rsidRPr="001921B9">
        <w:rPr>
          <w:rStyle w:val="FootnoteReference"/>
          <w:rFonts w:ascii="Times New Roman" w:hAnsi="Times New Roman" w:cs="Times New Roman"/>
        </w:rPr>
        <w:footnoteRef/>
      </w:r>
      <w:r w:rsidRPr="001921B9">
        <w:rPr>
          <w:rFonts w:ascii="Times New Roman" w:hAnsi="Times New Roman" w:cs="Times New Roman"/>
        </w:rPr>
        <w:t xml:space="preserve"> </w:t>
      </w:r>
      <w:r>
        <w:rPr>
          <w:rFonts w:ascii="Times New Roman" w:hAnsi="Times New Roman" w:cs="Times New Roman"/>
        </w:rPr>
        <w:t xml:space="preserve">The March CPS microdata </w:t>
      </w:r>
      <w:proofErr w:type="gramStart"/>
      <w:r>
        <w:rPr>
          <w:rFonts w:ascii="Times New Roman" w:hAnsi="Times New Roman" w:cs="Times New Roman"/>
        </w:rPr>
        <w:t>are released</w:t>
      </w:r>
      <w:proofErr w:type="gramEnd"/>
      <w:r>
        <w:rPr>
          <w:rFonts w:ascii="Times New Roman" w:hAnsi="Times New Roman" w:cs="Times New Roman"/>
        </w:rPr>
        <w:t xml:space="preserve"> in the fall of the survey year and contain annual earnings data for the previous calendar year. American Community Survey (ACS) microdata constitute a larger sample but are released with a greater delay and contain less detailed earnings data that covers a longer </w:t>
      </w:r>
      <w:proofErr w:type="gramStart"/>
      <w:r>
        <w:rPr>
          <w:rFonts w:ascii="Times New Roman" w:hAnsi="Times New Roman" w:cs="Times New Roman"/>
        </w:rPr>
        <w:t>time period</w:t>
      </w:r>
      <w:proofErr w:type="gramEnd"/>
      <w:r>
        <w:rPr>
          <w:rFonts w:ascii="Times New Roman" w:hAnsi="Times New Roman" w:cs="Times New Roman"/>
        </w:rPr>
        <w:t xml:space="preserve"> due to the staggered nature of the survey throughout the year. We intend to repeat our simulation exercise with the decennial census and the ACS, for the sake of comparison. </w:t>
      </w:r>
    </w:p>
  </w:footnote>
  <w:footnote w:id="5">
    <w:p w14:paraId="0F52E5E3" w14:textId="50C0FEAA" w:rsidR="004B26C9" w:rsidRPr="00677E1E" w:rsidRDefault="004B26C9">
      <w:pPr>
        <w:pStyle w:val="FootnoteText"/>
        <w:rPr>
          <w:rFonts w:ascii="Times New Roman" w:hAnsi="Times New Roman" w:cs="Times New Roman"/>
        </w:rPr>
      </w:pPr>
      <w:r w:rsidRPr="00677E1E">
        <w:rPr>
          <w:rStyle w:val="FootnoteReference"/>
          <w:rFonts w:ascii="Times New Roman" w:hAnsi="Times New Roman" w:cs="Times New Roman"/>
        </w:rPr>
        <w:footnoteRef/>
      </w:r>
      <w:r w:rsidRPr="00677E1E">
        <w:rPr>
          <w:rFonts w:ascii="Times New Roman" w:hAnsi="Times New Roman" w:cs="Times New Roman"/>
        </w:rPr>
        <w:t xml:space="preserve"> Previous literature has typically focused on the working-age population, 16</w:t>
      </w:r>
      <w:r w:rsidRPr="00677E1E">
        <w:rPr>
          <w:rFonts w:ascii="Times New Roman" w:hAnsi="Times New Roman" w:cs="Times New Roman"/>
        </w:rPr>
        <w:sym w:font="Symbol" w:char="F02D"/>
      </w:r>
      <w:r w:rsidRPr="00677E1E">
        <w:rPr>
          <w:rFonts w:ascii="Times New Roman" w:hAnsi="Times New Roman" w:cs="Times New Roman"/>
        </w:rPr>
        <w:t xml:space="preserve">64, but since our simulation involves increasing educational attainment, we believe it makes more sense to focus on the population for whom the additional attainment is more reasonable and </w:t>
      </w:r>
      <w:r>
        <w:rPr>
          <w:rFonts w:ascii="Times New Roman" w:hAnsi="Times New Roman" w:cs="Times New Roman"/>
        </w:rPr>
        <w:t xml:space="preserve">exclude those </w:t>
      </w:r>
      <w:r w:rsidRPr="00677E1E">
        <w:rPr>
          <w:rFonts w:ascii="Times New Roman" w:hAnsi="Times New Roman" w:cs="Times New Roman"/>
        </w:rPr>
        <w:t>for whom further schooling is less likely.</w:t>
      </w:r>
      <w:r>
        <w:rPr>
          <w:rFonts w:ascii="Times New Roman" w:hAnsi="Times New Roman" w:cs="Times New Roman"/>
        </w:rPr>
        <w:t xml:space="preserve"> </w:t>
      </w:r>
    </w:p>
  </w:footnote>
  <w:footnote w:id="6">
    <w:p w14:paraId="61090391" w14:textId="25DA89DE" w:rsidR="004B26C9" w:rsidRPr="00677E1E" w:rsidRDefault="004B26C9">
      <w:pPr>
        <w:pStyle w:val="FootnoteText"/>
        <w:rPr>
          <w:rFonts w:ascii="Times New Roman" w:hAnsi="Times New Roman" w:cs="Times New Roman"/>
        </w:rPr>
      </w:pPr>
      <w:r w:rsidRPr="00677E1E">
        <w:rPr>
          <w:rStyle w:val="FootnoteReference"/>
          <w:rFonts w:ascii="Times New Roman" w:hAnsi="Times New Roman" w:cs="Times New Roman"/>
        </w:rPr>
        <w:footnoteRef/>
      </w:r>
      <w:r w:rsidRPr="00677E1E">
        <w:rPr>
          <w:rFonts w:ascii="Times New Roman" w:hAnsi="Times New Roman" w:cs="Times New Roman"/>
        </w:rPr>
        <w:t xml:space="preserve"> We exclude from the sample individuals for whom </w:t>
      </w:r>
      <w:r>
        <w:rPr>
          <w:rFonts w:ascii="Times New Roman" w:hAnsi="Times New Roman" w:cs="Times New Roman"/>
        </w:rPr>
        <w:t>either of these</w:t>
      </w:r>
      <w:r w:rsidRPr="00677E1E">
        <w:rPr>
          <w:rFonts w:ascii="Times New Roman" w:hAnsi="Times New Roman" w:cs="Times New Roman"/>
        </w:rPr>
        <w:t xml:space="preserve"> component</w:t>
      </w:r>
      <w:r>
        <w:rPr>
          <w:rFonts w:ascii="Times New Roman" w:hAnsi="Times New Roman" w:cs="Times New Roman"/>
        </w:rPr>
        <w:t>s</w:t>
      </w:r>
      <w:r w:rsidRPr="00677E1E">
        <w:rPr>
          <w:rFonts w:ascii="Times New Roman" w:hAnsi="Times New Roman" w:cs="Times New Roman"/>
        </w:rPr>
        <w:t xml:space="preserve"> of earning </w:t>
      </w:r>
      <w:proofErr w:type="gramStart"/>
      <w:r w:rsidRPr="00677E1E">
        <w:rPr>
          <w:rFonts w:ascii="Times New Roman" w:hAnsi="Times New Roman" w:cs="Times New Roman"/>
        </w:rPr>
        <w:t>is imputed</w:t>
      </w:r>
      <w:proofErr w:type="gramEnd"/>
      <w:r w:rsidRPr="00677E1E">
        <w:rPr>
          <w:rFonts w:ascii="Times New Roman" w:hAnsi="Times New Roman" w:cs="Times New Roman"/>
        </w:rPr>
        <w:t xml:space="preserve">. About 1% of our </w:t>
      </w:r>
      <w:r>
        <w:rPr>
          <w:rFonts w:ascii="Times New Roman" w:hAnsi="Times New Roman" w:cs="Times New Roman"/>
        </w:rPr>
        <w:t>1980 and</w:t>
      </w:r>
      <w:r w:rsidRPr="00677E1E">
        <w:rPr>
          <w:rFonts w:ascii="Times New Roman" w:hAnsi="Times New Roman" w:cs="Times New Roman"/>
        </w:rPr>
        <w:t xml:space="preserve"> 2019 </w:t>
      </w:r>
      <w:r>
        <w:rPr>
          <w:rFonts w:ascii="Times New Roman" w:hAnsi="Times New Roman" w:cs="Times New Roman"/>
        </w:rPr>
        <w:t xml:space="preserve">samples </w:t>
      </w:r>
      <w:r w:rsidRPr="00677E1E">
        <w:rPr>
          <w:rFonts w:ascii="Times New Roman" w:hAnsi="Times New Roman" w:cs="Times New Roman"/>
        </w:rPr>
        <w:t>ha</w:t>
      </w:r>
      <w:r>
        <w:rPr>
          <w:rFonts w:ascii="Times New Roman" w:hAnsi="Times New Roman" w:cs="Times New Roman"/>
        </w:rPr>
        <w:t>ve</w:t>
      </w:r>
      <w:r w:rsidRPr="00677E1E">
        <w:rPr>
          <w:rFonts w:ascii="Times New Roman" w:hAnsi="Times New Roman" w:cs="Times New Roman"/>
        </w:rPr>
        <w:t xml:space="preserve"> </w:t>
      </w:r>
      <w:r>
        <w:rPr>
          <w:rFonts w:ascii="Times New Roman" w:hAnsi="Times New Roman" w:cs="Times New Roman"/>
        </w:rPr>
        <w:t>a</w:t>
      </w:r>
      <w:r w:rsidRPr="00677E1E">
        <w:rPr>
          <w:rFonts w:ascii="Times New Roman" w:hAnsi="Times New Roman" w:cs="Times New Roman"/>
        </w:rPr>
        <w:t xml:space="preserve"> component of earnings </w:t>
      </w:r>
      <w:proofErr w:type="spellStart"/>
      <w:r w:rsidRPr="00677E1E">
        <w:rPr>
          <w:rFonts w:ascii="Times New Roman" w:hAnsi="Times New Roman" w:cs="Times New Roman"/>
        </w:rPr>
        <w:t>topcoded</w:t>
      </w:r>
      <w:proofErr w:type="spellEnd"/>
      <w:r>
        <w:rPr>
          <w:rFonts w:ascii="Times New Roman" w:hAnsi="Times New Roman" w:cs="Times New Roman"/>
        </w:rPr>
        <w:t xml:space="preserve">. We do not attempt to adjust for </w:t>
      </w:r>
      <w:proofErr w:type="spellStart"/>
      <w:r>
        <w:rPr>
          <w:rFonts w:ascii="Times New Roman" w:hAnsi="Times New Roman" w:cs="Times New Roman"/>
        </w:rPr>
        <w:t>topcoding</w:t>
      </w:r>
      <w:proofErr w:type="spellEnd"/>
      <w:r>
        <w:rPr>
          <w:rFonts w:ascii="Times New Roman" w:hAnsi="Times New Roman" w:cs="Times New Roman"/>
        </w:rPr>
        <w:t xml:space="preserve">, but do implement a correction to use current </w:t>
      </w:r>
      <w:proofErr w:type="spellStart"/>
      <w:r>
        <w:rPr>
          <w:rFonts w:ascii="Times New Roman" w:hAnsi="Times New Roman" w:cs="Times New Roman"/>
        </w:rPr>
        <w:t>topcoding</w:t>
      </w:r>
      <w:proofErr w:type="spellEnd"/>
      <w:r>
        <w:rPr>
          <w:rFonts w:ascii="Times New Roman" w:hAnsi="Times New Roman" w:cs="Times New Roman"/>
        </w:rPr>
        <w:t xml:space="preserve"> methods for the 1979 sample, using historical income data generated by Larrimore et al. (2008).   </w:t>
      </w:r>
    </w:p>
  </w:footnote>
  <w:footnote w:id="7">
    <w:p w14:paraId="22DB5741" w14:textId="4952C7FF" w:rsidR="004B26C9" w:rsidRPr="00FF2FE4" w:rsidRDefault="004B26C9">
      <w:pPr>
        <w:pStyle w:val="FootnoteText"/>
        <w:rPr>
          <w:rFonts w:ascii="Times New Roman" w:hAnsi="Times New Roman" w:cs="Times New Roman"/>
        </w:rPr>
      </w:pPr>
      <w:r w:rsidRPr="00677E1E">
        <w:rPr>
          <w:rStyle w:val="FootnoteReference"/>
          <w:rFonts w:ascii="Times New Roman" w:hAnsi="Times New Roman" w:cs="Times New Roman"/>
        </w:rPr>
        <w:footnoteRef/>
      </w:r>
      <w:r w:rsidRPr="00677E1E">
        <w:rPr>
          <w:rFonts w:ascii="Times New Roman" w:hAnsi="Times New Roman" w:cs="Times New Roman"/>
        </w:rPr>
        <w:t xml:space="preserve"> These thresholds </w:t>
      </w:r>
      <w:proofErr w:type="gramStart"/>
      <w:r w:rsidRPr="00677E1E">
        <w:rPr>
          <w:rFonts w:ascii="Times New Roman" w:hAnsi="Times New Roman" w:cs="Times New Roman"/>
        </w:rPr>
        <w:t>are provided</w:t>
      </w:r>
      <w:proofErr w:type="gramEnd"/>
      <w:r w:rsidRPr="00677E1E">
        <w:rPr>
          <w:rFonts w:ascii="Times New Roman" w:hAnsi="Times New Roman" w:cs="Times New Roman"/>
        </w:rPr>
        <w:t xml:space="preserve"> annual by the Census Bureau (see </w:t>
      </w:r>
      <w:hyperlink r:id="rId1" w:history="1">
        <w:r w:rsidRPr="00677E1E">
          <w:rPr>
            <w:rStyle w:val="Hyperlink"/>
            <w:rFonts w:ascii="Times New Roman" w:hAnsi="Times New Roman" w:cs="Times New Roman"/>
          </w:rPr>
          <w:t>https://www.census.gov/data/tables/time-series/demo/income-poverty/historical-poverty-thresholds.html</w:t>
        </w:r>
      </w:hyperlink>
      <w:r w:rsidRPr="00677E1E">
        <w:rPr>
          <w:rFonts w:ascii="Times New Roman" w:hAnsi="Times New Roman" w:cs="Times New Roman"/>
        </w:rPr>
        <w:t>) and are already included in the IPUMS extracts we use.</w:t>
      </w:r>
    </w:p>
  </w:footnote>
  <w:footnote w:id="8">
    <w:p w14:paraId="0C933897" w14:textId="7BB449F8" w:rsidR="004B26C9" w:rsidRPr="005F1DFF" w:rsidRDefault="004B26C9">
      <w:pPr>
        <w:pStyle w:val="FootnoteText"/>
        <w:rPr>
          <w:rFonts w:ascii="Times New Roman" w:hAnsi="Times New Roman" w:cs="Times New Roman"/>
        </w:rPr>
      </w:pPr>
      <w:r w:rsidRPr="005F1DFF">
        <w:rPr>
          <w:rStyle w:val="FootnoteReference"/>
          <w:rFonts w:ascii="Times New Roman" w:hAnsi="Times New Roman" w:cs="Times New Roman"/>
        </w:rPr>
        <w:footnoteRef/>
      </w:r>
      <w:r w:rsidRPr="005F1DFF">
        <w:rPr>
          <w:rFonts w:ascii="Times New Roman" w:hAnsi="Times New Roman" w:cs="Times New Roman"/>
        </w:rPr>
        <w:t xml:space="preserve"> Appendix Figures 1</w:t>
      </w:r>
      <w:r>
        <w:rPr>
          <w:rFonts w:ascii="Times New Roman" w:hAnsi="Times New Roman" w:cs="Times New Roman"/>
        </w:rPr>
        <w:t xml:space="preserve"> and </w:t>
      </w:r>
      <w:r w:rsidRPr="005F1DFF">
        <w:rPr>
          <w:rFonts w:ascii="Times New Roman" w:hAnsi="Times New Roman" w:cs="Times New Roman"/>
        </w:rPr>
        <w:t>2 plot kernel density estimates of the earnings distributions of FTFY workers in 1979 and 2018</w:t>
      </w:r>
      <w:r>
        <w:rPr>
          <w:rFonts w:ascii="Times New Roman" w:hAnsi="Times New Roman" w:cs="Times New Roman"/>
        </w:rPr>
        <w:t>—</w:t>
      </w:r>
      <w:r w:rsidRPr="005F1DFF">
        <w:rPr>
          <w:rFonts w:ascii="Times New Roman" w:hAnsi="Times New Roman" w:cs="Times New Roman"/>
        </w:rPr>
        <w:t>pooled</w:t>
      </w:r>
      <w:r>
        <w:rPr>
          <w:rFonts w:ascii="Times New Roman" w:hAnsi="Times New Roman" w:cs="Times New Roman"/>
        </w:rPr>
        <w:t>,</w:t>
      </w:r>
      <w:r w:rsidRPr="005F1DFF">
        <w:rPr>
          <w:rFonts w:ascii="Times New Roman" w:hAnsi="Times New Roman" w:cs="Times New Roman"/>
        </w:rPr>
        <w:t xml:space="preserve"> and then separately for men and women</w:t>
      </w:r>
      <w:r>
        <w:rPr>
          <w:rFonts w:ascii="Times New Roman" w:hAnsi="Times New Roman" w:cs="Times New Roman"/>
        </w:rPr>
        <w:t>.</w:t>
      </w:r>
    </w:p>
  </w:footnote>
  <w:footnote w:id="9">
    <w:p w14:paraId="194B3EFD" w14:textId="77777777" w:rsidR="004B26C9" w:rsidRPr="00540511" w:rsidRDefault="004B26C9" w:rsidP="00BD7541">
      <w:pPr>
        <w:pStyle w:val="FootnoteText"/>
        <w:rPr>
          <w:rFonts w:ascii="Times New Roman" w:hAnsi="Times New Roman" w:cs="Times New Roman"/>
        </w:rPr>
      </w:pPr>
      <w:r w:rsidRPr="00540511">
        <w:rPr>
          <w:rStyle w:val="FootnoteReference"/>
          <w:rFonts w:ascii="Times New Roman" w:hAnsi="Times New Roman" w:cs="Times New Roman"/>
        </w:rPr>
        <w:footnoteRef/>
      </w:r>
      <w:r w:rsidRPr="00540511">
        <w:rPr>
          <w:rFonts w:ascii="Times New Roman" w:hAnsi="Times New Roman" w:cs="Times New Roman"/>
        </w:rPr>
        <w:t xml:space="preserve"> While it would be desirable to use group-specific causal returns to different degree levels, the literature has not produced robust causal estimates for different demographic groups, and so we assign the same AA premium and BA premium to all individuals who have their college status shifted.</w:t>
      </w:r>
    </w:p>
  </w:footnote>
  <w:footnote w:id="10">
    <w:p w14:paraId="13B21B96" w14:textId="3FF3E2BC" w:rsidR="004B26C9" w:rsidRPr="00540511" w:rsidRDefault="004B26C9">
      <w:pPr>
        <w:pStyle w:val="FootnoteText"/>
        <w:rPr>
          <w:rFonts w:ascii="Times New Roman" w:hAnsi="Times New Roman" w:cs="Times New Roman"/>
        </w:rPr>
      </w:pPr>
      <w:r w:rsidRPr="00540511">
        <w:rPr>
          <w:rStyle w:val="FootnoteReference"/>
          <w:rFonts w:ascii="Times New Roman" w:hAnsi="Times New Roman" w:cs="Times New Roman"/>
        </w:rPr>
        <w:footnoteRef/>
      </w:r>
      <w:r w:rsidRPr="00540511">
        <w:rPr>
          <w:rFonts w:ascii="Times New Roman" w:hAnsi="Times New Roman" w:cs="Times New Roman"/>
        </w:rPr>
        <w:t xml:space="preserve"> </w:t>
      </w:r>
      <w:r>
        <w:rPr>
          <w:rFonts w:ascii="Times New Roman" w:hAnsi="Times New Roman" w:cs="Times New Roman"/>
        </w:rPr>
        <w:t xml:space="preserve">Additionally, the baseline earnings from which Zimmerman’s estimates are drawn include some individuals who attend community colleges, whose earnings may be somewhat higher </w:t>
      </w:r>
      <w:proofErr w:type="gramStart"/>
      <w:r>
        <w:rPr>
          <w:rFonts w:ascii="Times New Roman" w:hAnsi="Times New Roman" w:cs="Times New Roman"/>
        </w:rPr>
        <w:t>than those</w:t>
      </w:r>
      <w:proofErr w:type="gramEnd"/>
      <w:r>
        <w:rPr>
          <w:rFonts w:ascii="Times New Roman" w:hAnsi="Times New Roman" w:cs="Times New Roman"/>
        </w:rPr>
        <w:t xml:space="preserve"> of high school graduates without any college attendance.</w:t>
      </w:r>
    </w:p>
  </w:footnote>
  <w:footnote w:id="11">
    <w:p w14:paraId="2CDAC0D5" w14:textId="4BE7E297" w:rsidR="004B26C9" w:rsidRPr="00E756C2" w:rsidRDefault="004B26C9">
      <w:pPr>
        <w:pStyle w:val="FootnoteText"/>
        <w:rPr>
          <w:rFonts w:ascii="Times New Roman" w:hAnsi="Times New Roman" w:cs="Times New Roman"/>
          <w:i/>
        </w:rPr>
      </w:pPr>
      <w:r w:rsidRPr="00EE6393">
        <w:rPr>
          <w:rStyle w:val="FootnoteReference"/>
          <w:rFonts w:ascii="Times New Roman" w:hAnsi="Times New Roman" w:cs="Times New Roman"/>
        </w:rPr>
        <w:footnoteRef/>
      </w:r>
      <w:r w:rsidRPr="00EE6393">
        <w:rPr>
          <w:rFonts w:ascii="Times New Roman" w:hAnsi="Times New Roman" w:cs="Times New Roman"/>
        </w:rPr>
        <w:t xml:space="preserve"> </w:t>
      </w:r>
      <w:r w:rsidRPr="00E756C2">
        <w:rPr>
          <w:rFonts w:ascii="Times New Roman" w:hAnsi="Times New Roman" w:cs="Times New Roman"/>
          <w:color w:val="222222"/>
          <w:shd w:val="clear" w:color="auto" w:fill="FFFFFF"/>
        </w:rPr>
        <w:t xml:space="preserve">Although the relative wage parameter estimates from the regressions </w:t>
      </w:r>
      <w:proofErr w:type="gramStart"/>
      <w:r w:rsidRPr="00E756C2">
        <w:rPr>
          <w:rFonts w:ascii="Times New Roman" w:hAnsi="Times New Roman" w:cs="Times New Roman"/>
          <w:color w:val="222222"/>
          <w:shd w:val="clear" w:color="auto" w:fill="FFFFFF"/>
        </w:rPr>
        <w:t>are defined</w:t>
      </w:r>
      <w:proofErr w:type="gramEnd"/>
      <w:r w:rsidRPr="00E756C2">
        <w:rPr>
          <w:rFonts w:ascii="Times New Roman" w:hAnsi="Times New Roman" w:cs="Times New Roman"/>
          <w:color w:val="222222"/>
          <w:shd w:val="clear" w:color="auto" w:fill="FFFFFF"/>
        </w:rPr>
        <w:t xml:space="preserve"> for (</w:t>
      </w:r>
      <w:proofErr w:type="spellStart"/>
      <w:r w:rsidRPr="00E756C2">
        <w:rPr>
          <w:rFonts w:ascii="Times New Roman" w:hAnsi="Times New Roman" w:cs="Times New Roman"/>
          <w:color w:val="222222"/>
          <w:shd w:val="clear" w:color="auto" w:fill="FFFFFF"/>
        </w:rPr>
        <w:t>i</w:t>
      </w:r>
      <w:proofErr w:type="spellEnd"/>
      <w:r w:rsidRPr="00E756C2">
        <w:rPr>
          <w:rFonts w:ascii="Times New Roman" w:hAnsi="Times New Roman" w:cs="Times New Roman"/>
          <w:color w:val="222222"/>
          <w:shd w:val="clear" w:color="auto" w:fill="FFFFFF"/>
        </w:rPr>
        <w:t>) BA (including BA-plus) and high school graduates</w:t>
      </w:r>
      <w:r>
        <w:rPr>
          <w:rFonts w:ascii="Times New Roman" w:hAnsi="Times New Roman" w:cs="Times New Roman"/>
          <w:color w:val="222222"/>
          <w:shd w:val="clear" w:color="auto" w:fill="FFFFFF"/>
        </w:rPr>
        <w:t>,</w:t>
      </w:r>
      <w:r w:rsidRPr="00E756C2">
        <w:rPr>
          <w:rFonts w:ascii="Times New Roman" w:hAnsi="Times New Roman" w:cs="Times New Roman"/>
          <w:color w:val="222222"/>
          <w:shd w:val="clear" w:color="auto" w:fill="FFFFFF"/>
        </w:rPr>
        <w:t xml:space="preserve"> and (ii) AA and high school graduates, when applying the adjusted wages to the population, we include </w:t>
      </w:r>
      <w:r>
        <w:rPr>
          <w:rFonts w:ascii="Times New Roman" w:hAnsi="Times New Roman" w:cs="Times New Roman"/>
          <w:color w:val="222222"/>
          <w:shd w:val="clear" w:color="auto" w:fill="FFFFFF"/>
        </w:rPr>
        <w:t xml:space="preserve">individuals without </w:t>
      </w:r>
      <w:r w:rsidRPr="00E756C2">
        <w:rPr>
          <w:rFonts w:ascii="Times New Roman" w:hAnsi="Times New Roman" w:cs="Times New Roman"/>
          <w:color w:val="222222"/>
          <w:shd w:val="clear" w:color="auto" w:fill="FFFFFF"/>
        </w:rPr>
        <w:t>a high school degree in the low</w:t>
      </w:r>
      <w:r>
        <w:rPr>
          <w:rFonts w:ascii="Times New Roman" w:hAnsi="Times New Roman" w:cs="Times New Roman"/>
          <w:color w:val="222222"/>
          <w:shd w:val="clear" w:color="auto" w:fill="FFFFFF"/>
        </w:rPr>
        <w:t>er</w:t>
      </w:r>
      <w:r w:rsidRPr="00E756C2">
        <w:rPr>
          <w:rFonts w:ascii="Times New Roman" w:hAnsi="Times New Roman" w:cs="Times New Roman"/>
          <w:color w:val="222222"/>
          <w:shd w:val="clear" w:color="auto" w:fill="FFFFFF"/>
        </w:rPr>
        <w:t>-skill group</w:t>
      </w:r>
      <w:r>
        <w:rPr>
          <w:rFonts w:ascii="Times New Roman" w:hAnsi="Times New Roman" w:cs="Times New Roman"/>
          <w:color w:val="222222"/>
          <w:shd w:val="clear" w:color="auto" w:fill="FFFFFF"/>
        </w:rPr>
        <w:t>, implicitly treating them as perfect substitutes</w:t>
      </w:r>
      <w:r w:rsidRPr="00E756C2">
        <w:rPr>
          <w:rFonts w:ascii="Times New Roman" w:hAnsi="Times New Roman" w:cs="Times New Roman"/>
          <w:color w:val="222222"/>
          <w:shd w:val="clear" w:color="auto" w:fill="FFFFFF"/>
        </w:rPr>
        <w:t>.</w:t>
      </w:r>
    </w:p>
  </w:footnote>
  <w:footnote w:id="12">
    <w:p w14:paraId="05BA05C3" w14:textId="0B21B683" w:rsidR="004B26C9" w:rsidRPr="000575C8" w:rsidRDefault="004B26C9">
      <w:pPr>
        <w:pStyle w:val="FootnoteText"/>
        <w:rPr>
          <w:rFonts w:ascii="Times New Roman" w:hAnsi="Times New Roman" w:cs="Times New Roman"/>
        </w:rPr>
      </w:pPr>
      <w:r w:rsidRPr="000575C8">
        <w:rPr>
          <w:rStyle w:val="FootnoteReference"/>
          <w:rFonts w:ascii="Times New Roman" w:hAnsi="Times New Roman" w:cs="Times New Roman"/>
        </w:rPr>
        <w:footnoteRef/>
      </w:r>
      <w:r w:rsidRPr="000575C8">
        <w:rPr>
          <w:rFonts w:ascii="Times New Roman" w:hAnsi="Times New Roman" w:cs="Times New Roman"/>
        </w:rPr>
        <w:t xml:space="preserve"> </w:t>
      </w:r>
      <w:r>
        <w:rPr>
          <w:rFonts w:ascii="Times New Roman" w:hAnsi="Times New Roman" w:cs="Times New Roman"/>
        </w:rPr>
        <w:t>Note that t</w:t>
      </w:r>
      <w:r w:rsidRPr="000575C8">
        <w:rPr>
          <w:rFonts w:ascii="Times New Roman" w:hAnsi="Times New Roman" w:cs="Times New Roman"/>
        </w:rPr>
        <w:t xml:space="preserve">he simulations for </w:t>
      </w:r>
      <w:r>
        <w:rPr>
          <w:rFonts w:ascii="Times New Roman" w:hAnsi="Times New Roman" w:cs="Times New Roman"/>
        </w:rPr>
        <w:t xml:space="preserve">the first three groups (FTFY samples) </w:t>
      </w:r>
      <w:proofErr w:type="gramStart"/>
      <w:r w:rsidRPr="000575C8">
        <w:rPr>
          <w:rFonts w:ascii="Times New Roman" w:hAnsi="Times New Roman" w:cs="Times New Roman"/>
        </w:rPr>
        <w:t>are based</w:t>
      </w:r>
      <w:proofErr w:type="gramEnd"/>
      <w:r w:rsidRPr="000575C8">
        <w:rPr>
          <w:rFonts w:ascii="Times New Roman" w:hAnsi="Times New Roman" w:cs="Times New Roman"/>
        </w:rPr>
        <w:t xml:space="preserve"> on raising education for </w:t>
      </w:r>
      <w:r w:rsidRPr="000575C8">
        <w:rPr>
          <w:rFonts w:ascii="Times New Roman" w:hAnsi="Times New Roman" w:cs="Times New Roman"/>
          <w:i/>
        </w:rPr>
        <w:t>all</w:t>
      </w:r>
      <w:r w:rsidRPr="000575C8">
        <w:rPr>
          <w:rFonts w:ascii="Times New Roman" w:hAnsi="Times New Roman" w:cs="Times New Roman"/>
        </w:rPr>
        <w:t xml:space="preserve"> FTFY workers by the stated amounts, not men and women separately in </w:t>
      </w:r>
      <w:r>
        <w:rPr>
          <w:rFonts w:ascii="Times New Roman" w:hAnsi="Times New Roman" w:cs="Times New Roman"/>
        </w:rPr>
        <w:t>the FTFY men and FTFY women samples</w:t>
      </w:r>
      <w:r w:rsidRPr="000575C8">
        <w:rPr>
          <w:rFonts w:ascii="Times New Roman" w:hAnsi="Times New Roman" w:cs="Times New Roman"/>
        </w:rPr>
        <w:t>. For</w:t>
      </w:r>
      <w:r>
        <w:rPr>
          <w:rFonts w:ascii="Times New Roman" w:hAnsi="Times New Roman" w:cs="Times New Roman"/>
        </w:rPr>
        <w:t xml:space="preserve"> the all-men group, </w:t>
      </w:r>
      <w:r w:rsidRPr="000575C8">
        <w:rPr>
          <w:rFonts w:ascii="Times New Roman" w:hAnsi="Times New Roman" w:cs="Times New Roman"/>
        </w:rPr>
        <w:t xml:space="preserve">education </w:t>
      </w:r>
      <w:proofErr w:type="gramStart"/>
      <w:r w:rsidRPr="000575C8">
        <w:rPr>
          <w:rFonts w:ascii="Times New Roman" w:hAnsi="Times New Roman" w:cs="Times New Roman"/>
        </w:rPr>
        <w:t>is raised</w:t>
      </w:r>
      <w:proofErr w:type="gramEnd"/>
      <w:r w:rsidRPr="000575C8">
        <w:rPr>
          <w:rFonts w:ascii="Times New Roman" w:hAnsi="Times New Roman" w:cs="Times New Roman"/>
        </w:rPr>
        <w:t xml:space="preserve"> for all </w:t>
      </w:r>
      <w:r>
        <w:rPr>
          <w:rFonts w:ascii="Times New Roman" w:hAnsi="Times New Roman" w:cs="Times New Roman"/>
        </w:rPr>
        <w:t xml:space="preserve">(prime-age) </w:t>
      </w:r>
      <w:r w:rsidRPr="000575C8">
        <w:rPr>
          <w:rFonts w:ascii="Times New Roman" w:hAnsi="Times New Roman" w:cs="Times New Roman"/>
        </w:rPr>
        <w:t>men by the stated amount.</w:t>
      </w:r>
    </w:p>
  </w:footnote>
  <w:footnote w:id="13">
    <w:p w14:paraId="4C2D45B4" w14:textId="77777777" w:rsidR="004B26C9" w:rsidRDefault="004B26C9" w:rsidP="00F12DB0">
      <w:pPr>
        <w:pStyle w:val="FootnoteText"/>
      </w:pPr>
      <w:r w:rsidRPr="00F12DB0">
        <w:rPr>
          <w:rStyle w:val="FootnoteReference"/>
          <w:rFonts w:ascii="Times New Roman" w:hAnsi="Times New Roman" w:cs="Times New Roman"/>
        </w:rPr>
        <w:footnoteRef/>
      </w:r>
      <w:r w:rsidRPr="00F12DB0">
        <w:rPr>
          <w:rFonts w:ascii="Times New Roman" w:hAnsi="Times New Roman" w:cs="Times New Roman"/>
        </w:rPr>
        <w:t xml:space="preserve"> </w:t>
      </w:r>
      <w:r w:rsidRPr="00F12DB0">
        <w:rPr>
          <w:rFonts w:ascii="Times New Roman" w:hAnsi="Times New Roman" w:cs="Times New Roman"/>
          <w:szCs w:val="24"/>
        </w:rPr>
        <w:t>Appendix</w:t>
      </w:r>
      <w:r w:rsidRPr="005369AF">
        <w:rPr>
          <w:rFonts w:ascii="Times New Roman" w:hAnsi="Times New Roman" w:cs="Times New Roman"/>
          <w:szCs w:val="24"/>
        </w:rPr>
        <w:t xml:space="preserve"> Table A</w:t>
      </w:r>
      <w:r>
        <w:rPr>
          <w:rFonts w:ascii="Times New Roman" w:hAnsi="Times New Roman" w:cs="Times New Roman"/>
          <w:szCs w:val="24"/>
        </w:rPr>
        <w:t>.2</w:t>
      </w:r>
      <w:r w:rsidRPr="005369AF">
        <w:rPr>
          <w:rFonts w:ascii="Times New Roman" w:hAnsi="Times New Roman" w:cs="Times New Roman"/>
          <w:szCs w:val="24"/>
        </w:rPr>
        <w:t xml:space="preserve"> reports the analogous results when relative wage effects </w:t>
      </w:r>
      <w:proofErr w:type="gramStart"/>
      <w:r w:rsidRPr="005369AF">
        <w:rPr>
          <w:rFonts w:ascii="Times New Roman" w:hAnsi="Times New Roman" w:cs="Times New Roman"/>
          <w:szCs w:val="24"/>
        </w:rPr>
        <w:t>are not taken</w:t>
      </w:r>
      <w:proofErr w:type="gramEnd"/>
      <w:r w:rsidRPr="005369AF">
        <w:rPr>
          <w:rFonts w:ascii="Times New Roman" w:hAnsi="Times New Roman" w:cs="Times New Roman"/>
          <w:szCs w:val="24"/>
        </w:rPr>
        <w:t xml:space="preserve"> into account. The resulting reductions in inequality are, as expected, smaller</w:t>
      </w:r>
      <w:r>
        <w:rPr>
          <w:rFonts w:ascii="Times New Roman" w:hAnsi="Times New Roman" w:cs="Times New Roman"/>
          <w:szCs w:val="24"/>
        </w:rPr>
        <w:t>, especially for the causal parameter method</w:t>
      </w:r>
      <w:r w:rsidRPr="005369AF">
        <w:rPr>
          <w:rFonts w:ascii="Times New Roman" w:hAnsi="Times New Roman" w:cs="Times New Roman"/>
          <w:szCs w:val="24"/>
        </w:rPr>
        <w:t>.</w:t>
      </w:r>
      <w:r>
        <w:rPr>
          <w:rFonts w:ascii="Times New Roman" w:hAnsi="Times New Roman" w:cs="Times New Roman"/>
          <w:szCs w:val="24"/>
        </w:rPr>
        <w:t xml:space="preserve"> For instance, the simulated 90/10 earnings ratio under simulation 3 becomes 5.20 according to both methods, as compared to 5.06 and 4.95 when relative wages are adjusted.</w:t>
      </w:r>
    </w:p>
  </w:footnote>
  <w:footnote w:id="14">
    <w:p w14:paraId="197E487B" w14:textId="60E1A695" w:rsidR="004B26C9" w:rsidRPr="00496F53" w:rsidRDefault="004B26C9">
      <w:pPr>
        <w:pStyle w:val="FootnoteText"/>
        <w:rPr>
          <w:rFonts w:ascii="Times New Roman" w:hAnsi="Times New Roman" w:cs="Times New Roman"/>
        </w:rPr>
      </w:pPr>
      <w:r w:rsidRPr="00496F53">
        <w:rPr>
          <w:rStyle w:val="FootnoteReference"/>
          <w:rFonts w:ascii="Times New Roman" w:hAnsi="Times New Roman" w:cs="Times New Roman"/>
        </w:rPr>
        <w:footnoteRef/>
      </w:r>
      <w:r w:rsidRPr="00496F53">
        <w:rPr>
          <w:rFonts w:ascii="Times New Roman" w:hAnsi="Times New Roman" w:cs="Times New Roman"/>
        </w:rPr>
        <w:t xml:space="preserve"> </w:t>
      </w:r>
      <w:r>
        <w:rPr>
          <w:rFonts w:ascii="Times New Roman" w:hAnsi="Times New Roman" w:cs="Times New Roman"/>
        </w:rPr>
        <w:t xml:space="preserve">This gap likely relates to the large earnings variance </w:t>
      </w:r>
      <w:r>
        <w:rPr>
          <w:rFonts w:ascii="Times New Roman" w:hAnsi="Times New Roman" w:cs="Times New Roman"/>
          <w:i/>
        </w:rPr>
        <w:t>among</w:t>
      </w:r>
      <w:r>
        <w:rPr>
          <w:rFonts w:ascii="Times New Roman" w:hAnsi="Times New Roman" w:cs="Times New Roman"/>
        </w:rPr>
        <w:t xml:space="preserve"> college graduates; while the causal parameter method unambiguously increases earnings, the distribution method can result in some “treated” individuals having their earnings reduced, if the draw is sufficiently bad. </w:t>
      </w:r>
    </w:p>
  </w:footnote>
  <w:footnote w:id="15">
    <w:p w14:paraId="250070DE" w14:textId="4297819E" w:rsidR="004B26C9" w:rsidRPr="00540511" w:rsidRDefault="004B26C9">
      <w:pPr>
        <w:pStyle w:val="FootnoteText"/>
        <w:rPr>
          <w:rFonts w:ascii="Times New Roman" w:hAnsi="Times New Roman" w:cs="Times New Roman"/>
        </w:rPr>
      </w:pPr>
      <w:r w:rsidRPr="00540511">
        <w:rPr>
          <w:rStyle w:val="FootnoteReference"/>
          <w:rFonts w:ascii="Times New Roman" w:hAnsi="Times New Roman" w:cs="Times New Roman"/>
        </w:rPr>
        <w:footnoteRef/>
      </w:r>
      <w:r w:rsidRPr="00540511">
        <w:rPr>
          <w:rFonts w:ascii="Times New Roman" w:hAnsi="Times New Roman" w:cs="Times New Roman"/>
        </w:rPr>
        <w:t xml:space="preserve"> </w:t>
      </w:r>
      <w:r>
        <w:rPr>
          <w:rFonts w:ascii="Times New Roman" w:hAnsi="Times New Roman" w:cs="Times New Roman"/>
        </w:rPr>
        <w:t xml:space="preserve">These reductions would likely be even smaller with better corrections for </w:t>
      </w:r>
      <w:proofErr w:type="spellStart"/>
      <w:r>
        <w:rPr>
          <w:rFonts w:ascii="Times New Roman" w:hAnsi="Times New Roman" w:cs="Times New Roman"/>
        </w:rPr>
        <w:t>topcoded</w:t>
      </w:r>
      <w:proofErr w:type="spellEnd"/>
      <w:r>
        <w:rPr>
          <w:rFonts w:ascii="Times New Roman" w:hAnsi="Times New Roman" w:cs="Times New Roman"/>
        </w:rPr>
        <w:t xml:space="preserve"> earnings.</w:t>
      </w:r>
    </w:p>
  </w:footnote>
  <w:footnote w:id="16">
    <w:p w14:paraId="3C0C41BE" w14:textId="626DE306" w:rsidR="004B26C9" w:rsidRDefault="004B26C9">
      <w:pPr>
        <w:pStyle w:val="FootnoteText"/>
      </w:pPr>
      <w:r w:rsidRPr="00C07E62">
        <w:rPr>
          <w:rStyle w:val="FootnoteReference"/>
          <w:rFonts w:ascii="Times New Roman" w:hAnsi="Times New Roman" w:cs="Times New Roman"/>
        </w:rPr>
        <w:footnoteRef/>
      </w:r>
      <w:r w:rsidRPr="00C07E62">
        <w:rPr>
          <w:rFonts w:ascii="Times New Roman" w:hAnsi="Times New Roman" w:cs="Times New Roman"/>
        </w:rPr>
        <w:t xml:space="preserve"> </w:t>
      </w:r>
      <w:r w:rsidRPr="00C07E62">
        <w:rPr>
          <w:rFonts w:ascii="Times New Roman" w:hAnsi="Times New Roman" w:cs="Times New Roman"/>
          <w:szCs w:val="24"/>
        </w:rPr>
        <w:t>We do not report analogous results for the unconditional pooled sample of men and women or women separately, as 34.6 percent of women reported no earnings in 1979, making comparisons of unconditional earnings ratios over time less meaningful</w:t>
      </w:r>
      <w:r w:rsidRPr="0084234A">
        <w:rPr>
          <w:rFonts w:ascii="Times New Roman" w:hAnsi="Times New Roman" w:cs="Times New Roman"/>
          <w:szCs w:val="24"/>
        </w:rPr>
        <w:t>.</w:t>
      </w:r>
    </w:p>
  </w:footnote>
  <w:footnote w:id="17">
    <w:p w14:paraId="0C66438D" w14:textId="5169E601" w:rsidR="004B26C9" w:rsidRPr="00496F53" w:rsidRDefault="004B26C9">
      <w:pPr>
        <w:pStyle w:val="FootnoteText"/>
        <w:rPr>
          <w:rFonts w:ascii="Times New Roman" w:hAnsi="Times New Roman" w:cs="Times New Roman"/>
        </w:rPr>
      </w:pPr>
      <w:r w:rsidRPr="00496F53">
        <w:rPr>
          <w:rStyle w:val="FootnoteReference"/>
          <w:rFonts w:ascii="Times New Roman" w:hAnsi="Times New Roman" w:cs="Times New Roman"/>
        </w:rPr>
        <w:footnoteRef/>
      </w:r>
      <w:r w:rsidRPr="00496F53">
        <w:rPr>
          <w:rFonts w:ascii="Times New Roman" w:hAnsi="Times New Roman" w:cs="Times New Roman"/>
        </w:rPr>
        <w:t xml:space="preserve"> </w:t>
      </w:r>
      <w:r>
        <w:rPr>
          <w:rFonts w:ascii="Times New Roman" w:hAnsi="Times New Roman" w:cs="Times New Roman"/>
        </w:rPr>
        <w:t>We consider the employment rate to have increased when individuals switch from zero to positive earnings under the simulation. The causal parameter method affects only the intensive margin and thus the employment rate is unchanged by this method.</w:t>
      </w:r>
    </w:p>
  </w:footnote>
  <w:footnote w:id="18">
    <w:p w14:paraId="0CCA5148" w14:textId="4C978EC3" w:rsidR="004B26C9" w:rsidRPr="00063733" w:rsidRDefault="004B26C9">
      <w:pPr>
        <w:pStyle w:val="FootnoteText"/>
        <w:rPr>
          <w:rFonts w:ascii="Times New Roman" w:hAnsi="Times New Roman" w:cs="Times New Roman"/>
          <w:szCs w:val="24"/>
        </w:rPr>
      </w:pPr>
      <w:r w:rsidRPr="00F80D04">
        <w:rPr>
          <w:rStyle w:val="FootnoteReference"/>
          <w:rFonts w:ascii="Times New Roman" w:hAnsi="Times New Roman" w:cs="Times New Roman"/>
        </w:rPr>
        <w:footnoteRef/>
      </w:r>
      <w:r w:rsidRPr="00F80D04">
        <w:rPr>
          <w:rFonts w:ascii="Times New Roman" w:hAnsi="Times New Roman" w:cs="Times New Roman"/>
        </w:rPr>
        <w:t xml:space="preserve"> </w:t>
      </w:r>
      <w:r w:rsidRPr="00F80D04">
        <w:rPr>
          <w:rFonts w:ascii="Times New Roman" w:hAnsi="Times New Roman" w:cs="Times New Roman"/>
          <w:szCs w:val="24"/>
        </w:rPr>
        <w:t xml:space="preserve">For an explanation </w:t>
      </w:r>
      <w:proofErr w:type="gramStart"/>
      <w:r w:rsidRPr="00F80D04">
        <w:rPr>
          <w:rFonts w:ascii="Times New Roman" w:hAnsi="Times New Roman" w:cs="Times New Roman"/>
          <w:szCs w:val="24"/>
        </w:rPr>
        <w:t>of how official poverty statistics are calculated and the 2018 federal poverty</w:t>
      </w:r>
      <w:proofErr w:type="gramEnd"/>
      <w:r w:rsidRPr="00F80D04">
        <w:rPr>
          <w:rFonts w:ascii="Times New Roman" w:hAnsi="Times New Roman" w:cs="Times New Roman"/>
          <w:szCs w:val="24"/>
        </w:rPr>
        <w:t xml:space="preserve"> thresholds, see:</w:t>
      </w:r>
      <w:r w:rsidRPr="00063733">
        <w:rPr>
          <w:rFonts w:ascii="Times New Roman" w:hAnsi="Times New Roman" w:cs="Times New Roman"/>
          <w:szCs w:val="24"/>
        </w:rPr>
        <w:t xml:space="preserve"> </w:t>
      </w:r>
      <w:hyperlink r:id="rId2" w:history="1">
        <w:r w:rsidRPr="00F80D04">
          <w:rPr>
            <w:rStyle w:val="Hyperlink"/>
            <w:rFonts w:ascii="Times New Roman" w:hAnsi="Times New Roman" w:cs="Times New Roman"/>
            <w:szCs w:val="24"/>
          </w:rPr>
          <w:t>https://www.census.gov/topics/income-poverty/poverty/guidance/poverty-measures.html</w:t>
        </w:r>
      </w:hyperlink>
      <w:r w:rsidRPr="00063733">
        <w:rPr>
          <w:rFonts w:ascii="Times New Roman" w:hAnsi="Times New Roman" w:cs="Times New Roman"/>
          <w:szCs w:val="24"/>
        </w:rPr>
        <w:t>.</w:t>
      </w:r>
    </w:p>
  </w:footnote>
  <w:footnote w:id="19">
    <w:p w14:paraId="2684A355" w14:textId="77777777" w:rsidR="004B26C9" w:rsidRPr="005714E6" w:rsidRDefault="004B26C9" w:rsidP="00F80D04">
      <w:pPr>
        <w:pStyle w:val="FootnoteText"/>
        <w:rPr>
          <w:rFonts w:ascii="Times New Roman" w:hAnsi="Times New Roman" w:cs="Times New Roman"/>
          <w:szCs w:val="24"/>
        </w:rPr>
      </w:pPr>
      <w:r w:rsidRPr="00F80D04">
        <w:rPr>
          <w:rStyle w:val="FootnoteReference"/>
          <w:rFonts w:ascii="Times New Roman" w:hAnsi="Times New Roman" w:cs="Times New Roman"/>
        </w:rPr>
        <w:footnoteRef/>
      </w:r>
      <w:r w:rsidRPr="00F80D04">
        <w:rPr>
          <w:rFonts w:ascii="Times New Roman" w:hAnsi="Times New Roman" w:cs="Times New Roman"/>
        </w:rPr>
        <w:t xml:space="preserve"> </w:t>
      </w:r>
      <w:r w:rsidRPr="00F80D04">
        <w:rPr>
          <w:rFonts w:ascii="Times New Roman" w:hAnsi="Times New Roman" w:cs="Times New Roman"/>
          <w:szCs w:val="24"/>
        </w:rPr>
        <w:t>We experim</w:t>
      </w:r>
      <w:r w:rsidRPr="00DF12D6">
        <w:rPr>
          <w:rFonts w:ascii="Times New Roman" w:hAnsi="Times New Roman" w:cs="Times New Roman"/>
          <w:szCs w:val="24"/>
        </w:rPr>
        <w:t>en</w:t>
      </w:r>
      <w:r>
        <w:rPr>
          <w:rFonts w:ascii="Times New Roman" w:hAnsi="Times New Roman" w:cs="Times New Roman"/>
          <w:szCs w:val="24"/>
        </w:rPr>
        <w:t xml:space="preserve">ted with </w:t>
      </w:r>
      <w:r w:rsidRPr="005714E6">
        <w:rPr>
          <w:rFonts w:ascii="Times New Roman" w:hAnsi="Times New Roman" w:cs="Times New Roman"/>
          <w:szCs w:val="24"/>
        </w:rPr>
        <w:t>us</w:t>
      </w:r>
      <w:r>
        <w:rPr>
          <w:rFonts w:ascii="Times New Roman" w:hAnsi="Times New Roman" w:cs="Times New Roman"/>
          <w:szCs w:val="24"/>
        </w:rPr>
        <w:t>ing</w:t>
      </w:r>
      <w:r w:rsidRPr="005714E6">
        <w:rPr>
          <w:rFonts w:ascii="Times New Roman" w:hAnsi="Times New Roman" w:cs="Times New Roman"/>
          <w:szCs w:val="24"/>
        </w:rPr>
        <w:t xml:space="preserve"> the NBER </w:t>
      </w:r>
      <w:proofErr w:type="spellStart"/>
      <w:r w:rsidRPr="005714E6">
        <w:rPr>
          <w:rFonts w:ascii="Times New Roman" w:hAnsi="Times New Roman" w:cs="Times New Roman"/>
          <w:szCs w:val="24"/>
        </w:rPr>
        <w:t>Taxsim</w:t>
      </w:r>
      <w:proofErr w:type="spellEnd"/>
      <w:r w:rsidRPr="005714E6">
        <w:rPr>
          <w:rFonts w:ascii="Times New Roman" w:hAnsi="Times New Roman" w:cs="Times New Roman"/>
          <w:szCs w:val="24"/>
        </w:rPr>
        <w:t xml:space="preserve"> model to adjust family income for taxes</w:t>
      </w:r>
      <w:r>
        <w:rPr>
          <w:rFonts w:ascii="Times New Roman" w:hAnsi="Times New Roman" w:cs="Times New Roman"/>
          <w:szCs w:val="24"/>
        </w:rPr>
        <w:t>;</w:t>
      </w:r>
      <w:r w:rsidRPr="005714E6">
        <w:rPr>
          <w:rFonts w:ascii="Times New Roman" w:hAnsi="Times New Roman" w:cs="Times New Roman"/>
          <w:szCs w:val="24"/>
        </w:rPr>
        <w:t xml:space="preserve"> </w:t>
      </w:r>
      <w:r>
        <w:rPr>
          <w:rFonts w:ascii="Times New Roman" w:hAnsi="Times New Roman" w:cs="Times New Roman"/>
          <w:szCs w:val="24"/>
        </w:rPr>
        <w:t>however,</w:t>
      </w:r>
      <w:r w:rsidRPr="005714E6">
        <w:rPr>
          <w:rFonts w:ascii="Times New Roman" w:hAnsi="Times New Roman" w:cs="Times New Roman"/>
          <w:szCs w:val="24"/>
        </w:rPr>
        <w:t xml:space="preserve"> since </w:t>
      </w:r>
      <w:proofErr w:type="spellStart"/>
      <w:r w:rsidRPr="005714E6">
        <w:rPr>
          <w:rFonts w:ascii="Times New Roman" w:hAnsi="Times New Roman" w:cs="Times New Roman"/>
          <w:szCs w:val="24"/>
        </w:rPr>
        <w:t>Taxsim</w:t>
      </w:r>
      <w:proofErr w:type="spellEnd"/>
      <w:r w:rsidRPr="005714E6">
        <w:rPr>
          <w:rFonts w:ascii="Times New Roman" w:hAnsi="Times New Roman" w:cs="Times New Roman"/>
          <w:szCs w:val="24"/>
        </w:rPr>
        <w:t xml:space="preserve"> calculates taxes owed and credits received, but does not include information about transfer benefits, the estimated numbers are still not an accurate measure of what would likely happen to household income</w:t>
      </w:r>
      <w:r>
        <w:rPr>
          <w:rFonts w:ascii="Times New Roman" w:hAnsi="Times New Roman" w:cs="Times New Roman"/>
          <w:szCs w:val="24"/>
        </w:rPr>
        <w:t xml:space="preserve"> net of taxes and transfers if earnings increased</w:t>
      </w:r>
      <w:r w:rsidRPr="005714E6">
        <w:rPr>
          <w:rFonts w:ascii="Times New Roman" w:hAnsi="Times New Roman" w:cs="Times New Roman"/>
          <w:szCs w:val="24"/>
        </w:rPr>
        <w:t xml:space="preserve">. </w:t>
      </w:r>
      <w:r>
        <w:rPr>
          <w:rFonts w:ascii="Times New Roman" w:hAnsi="Times New Roman" w:cs="Times New Roman"/>
          <w:szCs w:val="24"/>
        </w:rPr>
        <w:t xml:space="preserve">In any case, the effects on poverty calculations are likely to be small because official poverty statistics do not adjust household income for taxes paid or tax credits received, nor do they include in-kind benefits such as SNAP. </w:t>
      </w:r>
      <w:r w:rsidRPr="005714E6">
        <w:rPr>
          <w:rFonts w:ascii="Times New Roman" w:hAnsi="Times New Roman" w:cs="Times New Roman"/>
          <w:szCs w:val="24"/>
        </w:rPr>
        <w:t>We have thus decided to report two benchmark estimates for poverty effects, one that simply adds earnings to existing household income and one that calculates poverty rates based only on earnings.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A7A5B" w14:textId="7552CFF2" w:rsidR="004B26C9" w:rsidRDefault="004B26C9">
    <w:pPr>
      <w:pStyle w:val="Header"/>
      <w:jc w:val="right"/>
    </w:pPr>
  </w:p>
  <w:p w14:paraId="48FEE526" w14:textId="77777777" w:rsidR="004B26C9" w:rsidRDefault="004B26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80130" w14:textId="77777777" w:rsidR="004B26C9" w:rsidRDefault="004B26C9">
    <w:pPr>
      <w:pStyle w:val="Header"/>
      <w:jc w:val="right"/>
    </w:pPr>
  </w:p>
  <w:p w14:paraId="1E329310" w14:textId="77777777" w:rsidR="004B26C9" w:rsidRDefault="004B26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15BC"/>
    <w:multiLevelType w:val="hybridMultilevel"/>
    <w:tmpl w:val="208611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F823BC"/>
    <w:multiLevelType w:val="hybridMultilevel"/>
    <w:tmpl w:val="5E488556"/>
    <w:lvl w:ilvl="0" w:tplc="615468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62851"/>
    <w:multiLevelType w:val="hybridMultilevel"/>
    <w:tmpl w:val="8C5E9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C4BDB"/>
    <w:multiLevelType w:val="hybridMultilevel"/>
    <w:tmpl w:val="B34E3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D78AB"/>
    <w:multiLevelType w:val="hybridMultilevel"/>
    <w:tmpl w:val="DDA4586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462985"/>
    <w:multiLevelType w:val="hybridMultilevel"/>
    <w:tmpl w:val="96605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212B5"/>
    <w:multiLevelType w:val="multilevel"/>
    <w:tmpl w:val="DFAED8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32B29F3"/>
    <w:multiLevelType w:val="hybridMultilevel"/>
    <w:tmpl w:val="707E2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6D6616"/>
    <w:multiLevelType w:val="hybridMultilevel"/>
    <w:tmpl w:val="7A08ECBE"/>
    <w:lvl w:ilvl="0" w:tplc="1EDC66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74793A"/>
    <w:multiLevelType w:val="hybridMultilevel"/>
    <w:tmpl w:val="96605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5952E2"/>
    <w:multiLevelType w:val="hybridMultilevel"/>
    <w:tmpl w:val="96605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2D4DFF"/>
    <w:multiLevelType w:val="hybridMultilevel"/>
    <w:tmpl w:val="C83C6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1F7280"/>
    <w:multiLevelType w:val="hybridMultilevel"/>
    <w:tmpl w:val="96605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460957"/>
    <w:multiLevelType w:val="hybridMultilevel"/>
    <w:tmpl w:val="77E061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2"/>
  </w:num>
  <w:num w:numId="4">
    <w:abstractNumId w:val="10"/>
  </w:num>
  <w:num w:numId="5">
    <w:abstractNumId w:val="3"/>
  </w:num>
  <w:num w:numId="6">
    <w:abstractNumId w:val="5"/>
  </w:num>
  <w:num w:numId="7">
    <w:abstractNumId w:val="11"/>
  </w:num>
  <w:num w:numId="8">
    <w:abstractNumId w:val="2"/>
  </w:num>
  <w:num w:numId="9">
    <w:abstractNumId w:val="0"/>
  </w:num>
  <w:num w:numId="10">
    <w:abstractNumId w:val="4"/>
  </w:num>
  <w:num w:numId="11">
    <w:abstractNumId w:val="1"/>
  </w:num>
  <w:num w:numId="12">
    <w:abstractNumId w:val="8"/>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FCD"/>
    <w:rsid w:val="00005DCA"/>
    <w:rsid w:val="00006DB0"/>
    <w:rsid w:val="00010387"/>
    <w:rsid w:val="00011169"/>
    <w:rsid w:val="00012514"/>
    <w:rsid w:val="00012C52"/>
    <w:rsid w:val="00013ED6"/>
    <w:rsid w:val="0001430A"/>
    <w:rsid w:val="000356AD"/>
    <w:rsid w:val="0003610E"/>
    <w:rsid w:val="00037841"/>
    <w:rsid w:val="00040264"/>
    <w:rsid w:val="00041BA9"/>
    <w:rsid w:val="000429F4"/>
    <w:rsid w:val="00042E1A"/>
    <w:rsid w:val="00043D08"/>
    <w:rsid w:val="00052FCD"/>
    <w:rsid w:val="00054C34"/>
    <w:rsid w:val="0005720F"/>
    <w:rsid w:val="000575C8"/>
    <w:rsid w:val="000623E6"/>
    <w:rsid w:val="000632BC"/>
    <w:rsid w:val="00063733"/>
    <w:rsid w:val="00075998"/>
    <w:rsid w:val="00077ED4"/>
    <w:rsid w:val="00085196"/>
    <w:rsid w:val="000872EC"/>
    <w:rsid w:val="00090E39"/>
    <w:rsid w:val="000913C8"/>
    <w:rsid w:val="000925D2"/>
    <w:rsid w:val="00092CD2"/>
    <w:rsid w:val="000967B0"/>
    <w:rsid w:val="00097B3E"/>
    <w:rsid w:val="00097E50"/>
    <w:rsid w:val="00097E7D"/>
    <w:rsid w:val="000A626B"/>
    <w:rsid w:val="000A65D9"/>
    <w:rsid w:val="000A73E7"/>
    <w:rsid w:val="000B255C"/>
    <w:rsid w:val="000B2D20"/>
    <w:rsid w:val="000B50B0"/>
    <w:rsid w:val="000B580B"/>
    <w:rsid w:val="000B65A8"/>
    <w:rsid w:val="000C125C"/>
    <w:rsid w:val="000C6B3C"/>
    <w:rsid w:val="000D20D2"/>
    <w:rsid w:val="000D5FE0"/>
    <w:rsid w:val="000E1A1B"/>
    <w:rsid w:val="000E3515"/>
    <w:rsid w:val="000E6891"/>
    <w:rsid w:val="000F2008"/>
    <w:rsid w:val="000F38A2"/>
    <w:rsid w:val="000F7C00"/>
    <w:rsid w:val="0010097F"/>
    <w:rsid w:val="00105D17"/>
    <w:rsid w:val="00112045"/>
    <w:rsid w:val="00120C8C"/>
    <w:rsid w:val="00131BA9"/>
    <w:rsid w:val="00134F81"/>
    <w:rsid w:val="00143DDA"/>
    <w:rsid w:val="00145D6C"/>
    <w:rsid w:val="00146A79"/>
    <w:rsid w:val="00150EBE"/>
    <w:rsid w:val="00153784"/>
    <w:rsid w:val="00165DC5"/>
    <w:rsid w:val="00165DEC"/>
    <w:rsid w:val="00171419"/>
    <w:rsid w:val="001721A4"/>
    <w:rsid w:val="0017713F"/>
    <w:rsid w:val="0018258B"/>
    <w:rsid w:val="00182C86"/>
    <w:rsid w:val="001910E7"/>
    <w:rsid w:val="0019110E"/>
    <w:rsid w:val="00191124"/>
    <w:rsid w:val="001921B9"/>
    <w:rsid w:val="00194E37"/>
    <w:rsid w:val="001955EF"/>
    <w:rsid w:val="001A072F"/>
    <w:rsid w:val="001A5310"/>
    <w:rsid w:val="001B0A9F"/>
    <w:rsid w:val="001B73C3"/>
    <w:rsid w:val="001C0267"/>
    <w:rsid w:val="001C150E"/>
    <w:rsid w:val="001C1B79"/>
    <w:rsid w:val="001C2D0D"/>
    <w:rsid w:val="001C2D85"/>
    <w:rsid w:val="001C4682"/>
    <w:rsid w:val="001C5B33"/>
    <w:rsid w:val="001C6AA9"/>
    <w:rsid w:val="001C77A9"/>
    <w:rsid w:val="001D00B8"/>
    <w:rsid w:val="001D05AC"/>
    <w:rsid w:val="001D20CB"/>
    <w:rsid w:val="001D3751"/>
    <w:rsid w:val="001D44BF"/>
    <w:rsid w:val="001E3FBE"/>
    <w:rsid w:val="001E41D4"/>
    <w:rsid w:val="001F099A"/>
    <w:rsid w:val="00201232"/>
    <w:rsid w:val="00201389"/>
    <w:rsid w:val="00203811"/>
    <w:rsid w:val="00211FA3"/>
    <w:rsid w:val="002171B5"/>
    <w:rsid w:val="00222219"/>
    <w:rsid w:val="00222B33"/>
    <w:rsid w:val="00222B89"/>
    <w:rsid w:val="00225C44"/>
    <w:rsid w:val="0022771A"/>
    <w:rsid w:val="00227822"/>
    <w:rsid w:val="002307B2"/>
    <w:rsid w:val="00234B5E"/>
    <w:rsid w:val="002403A0"/>
    <w:rsid w:val="002429A5"/>
    <w:rsid w:val="0024582E"/>
    <w:rsid w:val="00246EB7"/>
    <w:rsid w:val="00251ECE"/>
    <w:rsid w:val="0025636D"/>
    <w:rsid w:val="00256C23"/>
    <w:rsid w:val="002574B9"/>
    <w:rsid w:val="002625F4"/>
    <w:rsid w:val="00263F7D"/>
    <w:rsid w:val="00264A44"/>
    <w:rsid w:val="002675DB"/>
    <w:rsid w:val="00270112"/>
    <w:rsid w:val="00272105"/>
    <w:rsid w:val="0027261D"/>
    <w:rsid w:val="00274C28"/>
    <w:rsid w:val="00297F89"/>
    <w:rsid w:val="002A31A5"/>
    <w:rsid w:val="002A3377"/>
    <w:rsid w:val="002A47E0"/>
    <w:rsid w:val="002A5BB2"/>
    <w:rsid w:val="002A5DEF"/>
    <w:rsid w:val="002A637E"/>
    <w:rsid w:val="002B4FE8"/>
    <w:rsid w:val="002C349F"/>
    <w:rsid w:val="002C6959"/>
    <w:rsid w:val="002D23F1"/>
    <w:rsid w:val="002D2D9E"/>
    <w:rsid w:val="002D5F2F"/>
    <w:rsid w:val="002E0DAC"/>
    <w:rsid w:val="002E133B"/>
    <w:rsid w:val="002E2FC9"/>
    <w:rsid w:val="002E3167"/>
    <w:rsid w:val="002E44E3"/>
    <w:rsid w:val="002F64B4"/>
    <w:rsid w:val="00304B41"/>
    <w:rsid w:val="00304E6F"/>
    <w:rsid w:val="00304E98"/>
    <w:rsid w:val="00311102"/>
    <w:rsid w:val="003158D6"/>
    <w:rsid w:val="003172D6"/>
    <w:rsid w:val="00323A82"/>
    <w:rsid w:val="003260EB"/>
    <w:rsid w:val="00327035"/>
    <w:rsid w:val="003311EB"/>
    <w:rsid w:val="00334A07"/>
    <w:rsid w:val="00336B6A"/>
    <w:rsid w:val="00340E22"/>
    <w:rsid w:val="00341E1A"/>
    <w:rsid w:val="0034511E"/>
    <w:rsid w:val="0035228B"/>
    <w:rsid w:val="00352D7D"/>
    <w:rsid w:val="00353EEC"/>
    <w:rsid w:val="00364150"/>
    <w:rsid w:val="00366A4B"/>
    <w:rsid w:val="0037016D"/>
    <w:rsid w:val="00370E75"/>
    <w:rsid w:val="003849C2"/>
    <w:rsid w:val="003971A1"/>
    <w:rsid w:val="003A486E"/>
    <w:rsid w:val="003A547C"/>
    <w:rsid w:val="003B39F8"/>
    <w:rsid w:val="003C0AE9"/>
    <w:rsid w:val="003C685B"/>
    <w:rsid w:val="003D115E"/>
    <w:rsid w:val="003D662C"/>
    <w:rsid w:val="003E6328"/>
    <w:rsid w:val="003E7FD5"/>
    <w:rsid w:val="003F778E"/>
    <w:rsid w:val="00402886"/>
    <w:rsid w:val="00411D7C"/>
    <w:rsid w:val="00417BCB"/>
    <w:rsid w:val="00420C9A"/>
    <w:rsid w:val="00420EFB"/>
    <w:rsid w:val="00423C4A"/>
    <w:rsid w:val="00426DF4"/>
    <w:rsid w:val="00430006"/>
    <w:rsid w:val="004302E4"/>
    <w:rsid w:val="00430467"/>
    <w:rsid w:val="004360D7"/>
    <w:rsid w:val="00440E71"/>
    <w:rsid w:val="0044465E"/>
    <w:rsid w:val="004469EC"/>
    <w:rsid w:val="0045062D"/>
    <w:rsid w:val="004516C7"/>
    <w:rsid w:val="00454A49"/>
    <w:rsid w:val="00455B5C"/>
    <w:rsid w:val="004611C5"/>
    <w:rsid w:val="00465C53"/>
    <w:rsid w:val="004662A1"/>
    <w:rsid w:val="00467EBD"/>
    <w:rsid w:val="00467F0C"/>
    <w:rsid w:val="00467F10"/>
    <w:rsid w:val="00473EF5"/>
    <w:rsid w:val="0047683B"/>
    <w:rsid w:val="00476E01"/>
    <w:rsid w:val="00480C0B"/>
    <w:rsid w:val="00483C81"/>
    <w:rsid w:val="00490363"/>
    <w:rsid w:val="0049145E"/>
    <w:rsid w:val="00494E60"/>
    <w:rsid w:val="004962A0"/>
    <w:rsid w:val="00496F53"/>
    <w:rsid w:val="004A44A1"/>
    <w:rsid w:val="004A6119"/>
    <w:rsid w:val="004B26C9"/>
    <w:rsid w:val="004B48D9"/>
    <w:rsid w:val="004C0F23"/>
    <w:rsid w:val="004C23E4"/>
    <w:rsid w:val="004C4ECC"/>
    <w:rsid w:val="004C681E"/>
    <w:rsid w:val="004C6BDF"/>
    <w:rsid w:val="004C7E9E"/>
    <w:rsid w:val="004D0F0A"/>
    <w:rsid w:val="004D1962"/>
    <w:rsid w:val="004D25C5"/>
    <w:rsid w:val="004D2FFF"/>
    <w:rsid w:val="004D60EE"/>
    <w:rsid w:val="004E1EFB"/>
    <w:rsid w:val="004E3E3F"/>
    <w:rsid w:val="004E4FD9"/>
    <w:rsid w:val="004E73E5"/>
    <w:rsid w:val="004F2776"/>
    <w:rsid w:val="004F51E0"/>
    <w:rsid w:val="004F79A1"/>
    <w:rsid w:val="0050017C"/>
    <w:rsid w:val="00502ABA"/>
    <w:rsid w:val="005229A3"/>
    <w:rsid w:val="00526CF1"/>
    <w:rsid w:val="005342BF"/>
    <w:rsid w:val="005369AF"/>
    <w:rsid w:val="00537BF0"/>
    <w:rsid w:val="00540511"/>
    <w:rsid w:val="00542641"/>
    <w:rsid w:val="00542E82"/>
    <w:rsid w:val="00543139"/>
    <w:rsid w:val="00544157"/>
    <w:rsid w:val="005457B4"/>
    <w:rsid w:val="005457D6"/>
    <w:rsid w:val="00560DC2"/>
    <w:rsid w:val="00565E21"/>
    <w:rsid w:val="00570870"/>
    <w:rsid w:val="005714E6"/>
    <w:rsid w:val="005748F7"/>
    <w:rsid w:val="005854B7"/>
    <w:rsid w:val="00587481"/>
    <w:rsid w:val="00591539"/>
    <w:rsid w:val="00591B8D"/>
    <w:rsid w:val="00592756"/>
    <w:rsid w:val="00593A58"/>
    <w:rsid w:val="00595168"/>
    <w:rsid w:val="005A0474"/>
    <w:rsid w:val="005A0683"/>
    <w:rsid w:val="005A2D13"/>
    <w:rsid w:val="005A4C75"/>
    <w:rsid w:val="005B1B62"/>
    <w:rsid w:val="005B4100"/>
    <w:rsid w:val="005B41A0"/>
    <w:rsid w:val="005B7ADE"/>
    <w:rsid w:val="005C05C6"/>
    <w:rsid w:val="005C24B6"/>
    <w:rsid w:val="005C2CEB"/>
    <w:rsid w:val="005C51D8"/>
    <w:rsid w:val="005E3004"/>
    <w:rsid w:val="005F1DFF"/>
    <w:rsid w:val="0060309F"/>
    <w:rsid w:val="00605E2F"/>
    <w:rsid w:val="00605EB2"/>
    <w:rsid w:val="00614D75"/>
    <w:rsid w:val="0061562A"/>
    <w:rsid w:val="006315EB"/>
    <w:rsid w:val="00635D6F"/>
    <w:rsid w:val="00641168"/>
    <w:rsid w:val="00651ED7"/>
    <w:rsid w:val="00652279"/>
    <w:rsid w:val="006527E6"/>
    <w:rsid w:val="006527F1"/>
    <w:rsid w:val="00655A67"/>
    <w:rsid w:val="00667122"/>
    <w:rsid w:val="00670D97"/>
    <w:rsid w:val="00671155"/>
    <w:rsid w:val="00673BFE"/>
    <w:rsid w:val="00673F1A"/>
    <w:rsid w:val="00677E1E"/>
    <w:rsid w:val="00680490"/>
    <w:rsid w:val="00681AE3"/>
    <w:rsid w:val="0069210D"/>
    <w:rsid w:val="006925C3"/>
    <w:rsid w:val="006A1408"/>
    <w:rsid w:val="006A6CE7"/>
    <w:rsid w:val="006A7A3C"/>
    <w:rsid w:val="006B0E60"/>
    <w:rsid w:val="006B19C5"/>
    <w:rsid w:val="006B2B53"/>
    <w:rsid w:val="006B2F7D"/>
    <w:rsid w:val="006B5E8F"/>
    <w:rsid w:val="006C53BD"/>
    <w:rsid w:val="006C5E69"/>
    <w:rsid w:val="006D4FC6"/>
    <w:rsid w:val="006D7357"/>
    <w:rsid w:val="006E19C4"/>
    <w:rsid w:val="006E769B"/>
    <w:rsid w:val="006F18EF"/>
    <w:rsid w:val="006F4FBC"/>
    <w:rsid w:val="006F5B02"/>
    <w:rsid w:val="006F6B1F"/>
    <w:rsid w:val="006F7121"/>
    <w:rsid w:val="0070065B"/>
    <w:rsid w:val="00700BFF"/>
    <w:rsid w:val="00703C1D"/>
    <w:rsid w:val="00705792"/>
    <w:rsid w:val="00705AAC"/>
    <w:rsid w:val="00710E50"/>
    <w:rsid w:val="007111D9"/>
    <w:rsid w:val="00713F28"/>
    <w:rsid w:val="00715C72"/>
    <w:rsid w:val="0072008D"/>
    <w:rsid w:val="0072167F"/>
    <w:rsid w:val="007234D5"/>
    <w:rsid w:val="00725B62"/>
    <w:rsid w:val="00731AF5"/>
    <w:rsid w:val="007323B2"/>
    <w:rsid w:val="0073344C"/>
    <w:rsid w:val="00733F34"/>
    <w:rsid w:val="0073468C"/>
    <w:rsid w:val="007371D6"/>
    <w:rsid w:val="00737AB5"/>
    <w:rsid w:val="00737FBB"/>
    <w:rsid w:val="007463A8"/>
    <w:rsid w:val="00750420"/>
    <w:rsid w:val="0075654F"/>
    <w:rsid w:val="00756855"/>
    <w:rsid w:val="00760F0B"/>
    <w:rsid w:val="007678B6"/>
    <w:rsid w:val="007734E5"/>
    <w:rsid w:val="0077552F"/>
    <w:rsid w:val="00775B9C"/>
    <w:rsid w:val="0077793F"/>
    <w:rsid w:val="00780B59"/>
    <w:rsid w:val="00780D79"/>
    <w:rsid w:val="00781F65"/>
    <w:rsid w:val="0078533D"/>
    <w:rsid w:val="00786534"/>
    <w:rsid w:val="00787694"/>
    <w:rsid w:val="00787ABB"/>
    <w:rsid w:val="00791823"/>
    <w:rsid w:val="007924FA"/>
    <w:rsid w:val="00795D57"/>
    <w:rsid w:val="007A1879"/>
    <w:rsid w:val="007A3D8C"/>
    <w:rsid w:val="007A57E0"/>
    <w:rsid w:val="007A6A4F"/>
    <w:rsid w:val="007A7D56"/>
    <w:rsid w:val="007A7DA5"/>
    <w:rsid w:val="007C0FF6"/>
    <w:rsid w:val="007C5904"/>
    <w:rsid w:val="007C6330"/>
    <w:rsid w:val="007D17AF"/>
    <w:rsid w:val="007D1862"/>
    <w:rsid w:val="007D1EB1"/>
    <w:rsid w:val="007E0FE1"/>
    <w:rsid w:val="007F28F8"/>
    <w:rsid w:val="007F314F"/>
    <w:rsid w:val="007F63BE"/>
    <w:rsid w:val="007F63DF"/>
    <w:rsid w:val="00802BE9"/>
    <w:rsid w:val="00811439"/>
    <w:rsid w:val="0081224C"/>
    <w:rsid w:val="00812272"/>
    <w:rsid w:val="008139ED"/>
    <w:rsid w:val="00813EB4"/>
    <w:rsid w:val="008146CA"/>
    <w:rsid w:val="00814B5B"/>
    <w:rsid w:val="008153A6"/>
    <w:rsid w:val="00815B8C"/>
    <w:rsid w:val="008235CD"/>
    <w:rsid w:val="00831F73"/>
    <w:rsid w:val="008335B2"/>
    <w:rsid w:val="00837F4A"/>
    <w:rsid w:val="0084234A"/>
    <w:rsid w:val="008433D1"/>
    <w:rsid w:val="0084344B"/>
    <w:rsid w:val="00847209"/>
    <w:rsid w:val="008500BA"/>
    <w:rsid w:val="008524D8"/>
    <w:rsid w:val="008620CF"/>
    <w:rsid w:val="00862A14"/>
    <w:rsid w:val="008651B9"/>
    <w:rsid w:val="00865A5E"/>
    <w:rsid w:val="00865E6F"/>
    <w:rsid w:val="008726A7"/>
    <w:rsid w:val="008775F4"/>
    <w:rsid w:val="00887638"/>
    <w:rsid w:val="00893C38"/>
    <w:rsid w:val="00894AF1"/>
    <w:rsid w:val="008A1B91"/>
    <w:rsid w:val="008A6240"/>
    <w:rsid w:val="008A73D9"/>
    <w:rsid w:val="008B209F"/>
    <w:rsid w:val="008B4FF0"/>
    <w:rsid w:val="008B545D"/>
    <w:rsid w:val="008B5576"/>
    <w:rsid w:val="008B625B"/>
    <w:rsid w:val="008B71C7"/>
    <w:rsid w:val="008B785E"/>
    <w:rsid w:val="008C0037"/>
    <w:rsid w:val="008C0055"/>
    <w:rsid w:val="008C10D2"/>
    <w:rsid w:val="008C45AA"/>
    <w:rsid w:val="008C49A2"/>
    <w:rsid w:val="008C7141"/>
    <w:rsid w:val="008D2055"/>
    <w:rsid w:val="008D247A"/>
    <w:rsid w:val="008D3C09"/>
    <w:rsid w:val="008D4167"/>
    <w:rsid w:val="008E0FC3"/>
    <w:rsid w:val="008E79B2"/>
    <w:rsid w:val="008F3604"/>
    <w:rsid w:val="009006C4"/>
    <w:rsid w:val="009007FC"/>
    <w:rsid w:val="009021BC"/>
    <w:rsid w:val="009031E9"/>
    <w:rsid w:val="00906A34"/>
    <w:rsid w:val="00913481"/>
    <w:rsid w:val="00915BE4"/>
    <w:rsid w:val="009203D3"/>
    <w:rsid w:val="009261BC"/>
    <w:rsid w:val="00935047"/>
    <w:rsid w:val="00936689"/>
    <w:rsid w:val="00940754"/>
    <w:rsid w:val="00955E07"/>
    <w:rsid w:val="00955EDC"/>
    <w:rsid w:val="00960BE9"/>
    <w:rsid w:val="009636D4"/>
    <w:rsid w:val="00964739"/>
    <w:rsid w:val="00967E70"/>
    <w:rsid w:val="009716E1"/>
    <w:rsid w:val="0097412F"/>
    <w:rsid w:val="00977811"/>
    <w:rsid w:val="00996BB2"/>
    <w:rsid w:val="009A3790"/>
    <w:rsid w:val="009B315F"/>
    <w:rsid w:val="009B46A9"/>
    <w:rsid w:val="009B5933"/>
    <w:rsid w:val="009C2375"/>
    <w:rsid w:val="009C6D31"/>
    <w:rsid w:val="009C78D4"/>
    <w:rsid w:val="009D342F"/>
    <w:rsid w:val="009D3FD1"/>
    <w:rsid w:val="009D59CE"/>
    <w:rsid w:val="009E1BCE"/>
    <w:rsid w:val="009E54A6"/>
    <w:rsid w:val="009F3B83"/>
    <w:rsid w:val="00A0006B"/>
    <w:rsid w:val="00A0112E"/>
    <w:rsid w:val="00A03402"/>
    <w:rsid w:val="00A0436A"/>
    <w:rsid w:val="00A0669F"/>
    <w:rsid w:val="00A1003A"/>
    <w:rsid w:val="00A12E70"/>
    <w:rsid w:val="00A149E8"/>
    <w:rsid w:val="00A20AA8"/>
    <w:rsid w:val="00A24B82"/>
    <w:rsid w:val="00A2614F"/>
    <w:rsid w:val="00A3093D"/>
    <w:rsid w:val="00A41097"/>
    <w:rsid w:val="00A43187"/>
    <w:rsid w:val="00A45FC4"/>
    <w:rsid w:val="00A47E67"/>
    <w:rsid w:val="00A541E2"/>
    <w:rsid w:val="00A5633B"/>
    <w:rsid w:val="00A60137"/>
    <w:rsid w:val="00A657A4"/>
    <w:rsid w:val="00A67308"/>
    <w:rsid w:val="00A73E68"/>
    <w:rsid w:val="00A8269B"/>
    <w:rsid w:val="00A925B3"/>
    <w:rsid w:val="00A93F13"/>
    <w:rsid w:val="00AA0625"/>
    <w:rsid w:val="00AA0AB5"/>
    <w:rsid w:val="00AA34A3"/>
    <w:rsid w:val="00AA6096"/>
    <w:rsid w:val="00AA7D94"/>
    <w:rsid w:val="00AB0D65"/>
    <w:rsid w:val="00AB3227"/>
    <w:rsid w:val="00AC377E"/>
    <w:rsid w:val="00AC506F"/>
    <w:rsid w:val="00AC50C1"/>
    <w:rsid w:val="00AC59AA"/>
    <w:rsid w:val="00AD0F28"/>
    <w:rsid w:val="00AD23B4"/>
    <w:rsid w:val="00AD7578"/>
    <w:rsid w:val="00AD7AC5"/>
    <w:rsid w:val="00AD7F75"/>
    <w:rsid w:val="00AE2C57"/>
    <w:rsid w:val="00AE7424"/>
    <w:rsid w:val="00AE7D08"/>
    <w:rsid w:val="00AF00D0"/>
    <w:rsid w:val="00AF4930"/>
    <w:rsid w:val="00AF5757"/>
    <w:rsid w:val="00AF6043"/>
    <w:rsid w:val="00AF737D"/>
    <w:rsid w:val="00AF7C1D"/>
    <w:rsid w:val="00B022B0"/>
    <w:rsid w:val="00B026BF"/>
    <w:rsid w:val="00B03B32"/>
    <w:rsid w:val="00B03EEC"/>
    <w:rsid w:val="00B05E76"/>
    <w:rsid w:val="00B07E93"/>
    <w:rsid w:val="00B11559"/>
    <w:rsid w:val="00B133FD"/>
    <w:rsid w:val="00B15415"/>
    <w:rsid w:val="00B15473"/>
    <w:rsid w:val="00B256E5"/>
    <w:rsid w:val="00B26DB0"/>
    <w:rsid w:val="00B26FA4"/>
    <w:rsid w:val="00B27500"/>
    <w:rsid w:val="00B31D9D"/>
    <w:rsid w:val="00B36299"/>
    <w:rsid w:val="00B37419"/>
    <w:rsid w:val="00B4019D"/>
    <w:rsid w:val="00B43067"/>
    <w:rsid w:val="00B46B6B"/>
    <w:rsid w:val="00B474F4"/>
    <w:rsid w:val="00B506BE"/>
    <w:rsid w:val="00B512B8"/>
    <w:rsid w:val="00B51AC2"/>
    <w:rsid w:val="00B5334F"/>
    <w:rsid w:val="00B53E5F"/>
    <w:rsid w:val="00B54314"/>
    <w:rsid w:val="00B5558A"/>
    <w:rsid w:val="00B556FF"/>
    <w:rsid w:val="00B56750"/>
    <w:rsid w:val="00B65EC2"/>
    <w:rsid w:val="00B70CBC"/>
    <w:rsid w:val="00B71002"/>
    <w:rsid w:val="00B73B6A"/>
    <w:rsid w:val="00B761B5"/>
    <w:rsid w:val="00B763C5"/>
    <w:rsid w:val="00B81498"/>
    <w:rsid w:val="00B81AFB"/>
    <w:rsid w:val="00B8300F"/>
    <w:rsid w:val="00B85355"/>
    <w:rsid w:val="00B86B30"/>
    <w:rsid w:val="00B91F4D"/>
    <w:rsid w:val="00B91F95"/>
    <w:rsid w:val="00B93667"/>
    <w:rsid w:val="00B9630D"/>
    <w:rsid w:val="00BA063A"/>
    <w:rsid w:val="00BA0D75"/>
    <w:rsid w:val="00BB04AE"/>
    <w:rsid w:val="00BB2F88"/>
    <w:rsid w:val="00BB37C4"/>
    <w:rsid w:val="00BC2FB5"/>
    <w:rsid w:val="00BC5B7B"/>
    <w:rsid w:val="00BC79F0"/>
    <w:rsid w:val="00BD1CB8"/>
    <w:rsid w:val="00BD1DBB"/>
    <w:rsid w:val="00BD4FFD"/>
    <w:rsid w:val="00BD6B9F"/>
    <w:rsid w:val="00BD7541"/>
    <w:rsid w:val="00BE04D1"/>
    <w:rsid w:val="00BE1C81"/>
    <w:rsid w:val="00BF175E"/>
    <w:rsid w:val="00BF477B"/>
    <w:rsid w:val="00BF5375"/>
    <w:rsid w:val="00BF7BDA"/>
    <w:rsid w:val="00C003C5"/>
    <w:rsid w:val="00C024B6"/>
    <w:rsid w:val="00C05AB3"/>
    <w:rsid w:val="00C06C91"/>
    <w:rsid w:val="00C070AC"/>
    <w:rsid w:val="00C077E0"/>
    <w:rsid w:val="00C07E62"/>
    <w:rsid w:val="00C11C62"/>
    <w:rsid w:val="00C168EB"/>
    <w:rsid w:val="00C20CB6"/>
    <w:rsid w:val="00C27236"/>
    <w:rsid w:val="00C27D76"/>
    <w:rsid w:val="00C30619"/>
    <w:rsid w:val="00C31974"/>
    <w:rsid w:val="00C3762A"/>
    <w:rsid w:val="00C42EE4"/>
    <w:rsid w:val="00C44504"/>
    <w:rsid w:val="00C5057B"/>
    <w:rsid w:val="00C50801"/>
    <w:rsid w:val="00C51319"/>
    <w:rsid w:val="00C52CEE"/>
    <w:rsid w:val="00C52EDA"/>
    <w:rsid w:val="00C53025"/>
    <w:rsid w:val="00C548F0"/>
    <w:rsid w:val="00C56E29"/>
    <w:rsid w:val="00C579CE"/>
    <w:rsid w:val="00C613CF"/>
    <w:rsid w:val="00C634D7"/>
    <w:rsid w:val="00C65707"/>
    <w:rsid w:val="00C70CB7"/>
    <w:rsid w:val="00C73099"/>
    <w:rsid w:val="00C75396"/>
    <w:rsid w:val="00C86892"/>
    <w:rsid w:val="00C927B8"/>
    <w:rsid w:val="00C93FF7"/>
    <w:rsid w:val="00C9673F"/>
    <w:rsid w:val="00C97863"/>
    <w:rsid w:val="00CA18DC"/>
    <w:rsid w:val="00CA460B"/>
    <w:rsid w:val="00CA626D"/>
    <w:rsid w:val="00CA7031"/>
    <w:rsid w:val="00CB2382"/>
    <w:rsid w:val="00CB5C43"/>
    <w:rsid w:val="00CB7C47"/>
    <w:rsid w:val="00CC16E4"/>
    <w:rsid w:val="00CC28A4"/>
    <w:rsid w:val="00CC3684"/>
    <w:rsid w:val="00CC7D9F"/>
    <w:rsid w:val="00CD617D"/>
    <w:rsid w:val="00CE261E"/>
    <w:rsid w:val="00CE3871"/>
    <w:rsid w:val="00CE4130"/>
    <w:rsid w:val="00CE4952"/>
    <w:rsid w:val="00CE5851"/>
    <w:rsid w:val="00CE6598"/>
    <w:rsid w:val="00CF0019"/>
    <w:rsid w:val="00CF09A5"/>
    <w:rsid w:val="00CF0FE1"/>
    <w:rsid w:val="00CF1CB6"/>
    <w:rsid w:val="00CF1DCE"/>
    <w:rsid w:val="00CF22EE"/>
    <w:rsid w:val="00CF39A2"/>
    <w:rsid w:val="00CF4D59"/>
    <w:rsid w:val="00CF536F"/>
    <w:rsid w:val="00CF69D0"/>
    <w:rsid w:val="00D00E08"/>
    <w:rsid w:val="00D00E15"/>
    <w:rsid w:val="00D03DF3"/>
    <w:rsid w:val="00D117BB"/>
    <w:rsid w:val="00D13F08"/>
    <w:rsid w:val="00D14E4A"/>
    <w:rsid w:val="00D14F8F"/>
    <w:rsid w:val="00D20563"/>
    <w:rsid w:val="00D2289A"/>
    <w:rsid w:val="00D2559F"/>
    <w:rsid w:val="00D259F5"/>
    <w:rsid w:val="00D25CAB"/>
    <w:rsid w:val="00D279C9"/>
    <w:rsid w:val="00D27E24"/>
    <w:rsid w:val="00D3427E"/>
    <w:rsid w:val="00D373D5"/>
    <w:rsid w:val="00D45E8B"/>
    <w:rsid w:val="00D561B7"/>
    <w:rsid w:val="00D63F9B"/>
    <w:rsid w:val="00D65202"/>
    <w:rsid w:val="00D674F8"/>
    <w:rsid w:val="00D8162A"/>
    <w:rsid w:val="00D82A2F"/>
    <w:rsid w:val="00D82C90"/>
    <w:rsid w:val="00D84883"/>
    <w:rsid w:val="00D85BA2"/>
    <w:rsid w:val="00D86311"/>
    <w:rsid w:val="00D901DF"/>
    <w:rsid w:val="00D91E61"/>
    <w:rsid w:val="00D9292C"/>
    <w:rsid w:val="00D93943"/>
    <w:rsid w:val="00D93BD5"/>
    <w:rsid w:val="00DA1C00"/>
    <w:rsid w:val="00DA1EAE"/>
    <w:rsid w:val="00DA3BA6"/>
    <w:rsid w:val="00DA59F0"/>
    <w:rsid w:val="00DB1049"/>
    <w:rsid w:val="00DB33EE"/>
    <w:rsid w:val="00DB42A1"/>
    <w:rsid w:val="00DB7913"/>
    <w:rsid w:val="00DC5DD6"/>
    <w:rsid w:val="00DD05E1"/>
    <w:rsid w:val="00DD0765"/>
    <w:rsid w:val="00DD1B5E"/>
    <w:rsid w:val="00DD42C1"/>
    <w:rsid w:val="00DD4A3E"/>
    <w:rsid w:val="00DE1C97"/>
    <w:rsid w:val="00DE1F54"/>
    <w:rsid w:val="00DE260D"/>
    <w:rsid w:val="00DF1FDB"/>
    <w:rsid w:val="00DF21BA"/>
    <w:rsid w:val="00DF755F"/>
    <w:rsid w:val="00DF7721"/>
    <w:rsid w:val="00E04734"/>
    <w:rsid w:val="00E072D9"/>
    <w:rsid w:val="00E11A71"/>
    <w:rsid w:val="00E126FB"/>
    <w:rsid w:val="00E164D4"/>
    <w:rsid w:val="00E2173A"/>
    <w:rsid w:val="00E244D1"/>
    <w:rsid w:val="00E31479"/>
    <w:rsid w:val="00E33E03"/>
    <w:rsid w:val="00E34190"/>
    <w:rsid w:val="00E34AE4"/>
    <w:rsid w:val="00E37BA8"/>
    <w:rsid w:val="00E37EE0"/>
    <w:rsid w:val="00E436EB"/>
    <w:rsid w:val="00E43CBD"/>
    <w:rsid w:val="00E46A94"/>
    <w:rsid w:val="00E500D2"/>
    <w:rsid w:val="00E51534"/>
    <w:rsid w:val="00E517C1"/>
    <w:rsid w:val="00E60917"/>
    <w:rsid w:val="00E63544"/>
    <w:rsid w:val="00E65075"/>
    <w:rsid w:val="00E7289F"/>
    <w:rsid w:val="00E73932"/>
    <w:rsid w:val="00E756C2"/>
    <w:rsid w:val="00E80422"/>
    <w:rsid w:val="00E808D9"/>
    <w:rsid w:val="00E81C31"/>
    <w:rsid w:val="00E82EC4"/>
    <w:rsid w:val="00E84B63"/>
    <w:rsid w:val="00E84D09"/>
    <w:rsid w:val="00E856E6"/>
    <w:rsid w:val="00E85A61"/>
    <w:rsid w:val="00E94798"/>
    <w:rsid w:val="00E94FD3"/>
    <w:rsid w:val="00E96E1F"/>
    <w:rsid w:val="00EB3FDC"/>
    <w:rsid w:val="00EB45EC"/>
    <w:rsid w:val="00EB617C"/>
    <w:rsid w:val="00EB732B"/>
    <w:rsid w:val="00EC09A2"/>
    <w:rsid w:val="00EC30F5"/>
    <w:rsid w:val="00ED2045"/>
    <w:rsid w:val="00ED22D9"/>
    <w:rsid w:val="00ED7C10"/>
    <w:rsid w:val="00EE05B1"/>
    <w:rsid w:val="00EE164E"/>
    <w:rsid w:val="00EE3546"/>
    <w:rsid w:val="00EE55D5"/>
    <w:rsid w:val="00EE6393"/>
    <w:rsid w:val="00EE6CF2"/>
    <w:rsid w:val="00EF0537"/>
    <w:rsid w:val="00EF3A60"/>
    <w:rsid w:val="00EF6237"/>
    <w:rsid w:val="00F00660"/>
    <w:rsid w:val="00F0246B"/>
    <w:rsid w:val="00F02D75"/>
    <w:rsid w:val="00F05A1C"/>
    <w:rsid w:val="00F07DA4"/>
    <w:rsid w:val="00F10958"/>
    <w:rsid w:val="00F12730"/>
    <w:rsid w:val="00F12DB0"/>
    <w:rsid w:val="00F20A28"/>
    <w:rsid w:val="00F20D7B"/>
    <w:rsid w:val="00F267E1"/>
    <w:rsid w:val="00F31248"/>
    <w:rsid w:val="00F31948"/>
    <w:rsid w:val="00F34CDD"/>
    <w:rsid w:val="00F35B82"/>
    <w:rsid w:val="00F406AC"/>
    <w:rsid w:val="00F4204E"/>
    <w:rsid w:val="00F42376"/>
    <w:rsid w:val="00F52A6D"/>
    <w:rsid w:val="00F5769B"/>
    <w:rsid w:val="00F60AF2"/>
    <w:rsid w:val="00F61F8B"/>
    <w:rsid w:val="00F67AAB"/>
    <w:rsid w:val="00F67AC4"/>
    <w:rsid w:val="00F67FE2"/>
    <w:rsid w:val="00F70E03"/>
    <w:rsid w:val="00F760CD"/>
    <w:rsid w:val="00F763C7"/>
    <w:rsid w:val="00F80D04"/>
    <w:rsid w:val="00F931BC"/>
    <w:rsid w:val="00F9377C"/>
    <w:rsid w:val="00F9436E"/>
    <w:rsid w:val="00F94391"/>
    <w:rsid w:val="00F94BC6"/>
    <w:rsid w:val="00FA6BD9"/>
    <w:rsid w:val="00FB1ED3"/>
    <w:rsid w:val="00FB4E2C"/>
    <w:rsid w:val="00FB5AA7"/>
    <w:rsid w:val="00FC1543"/>
    <w:rsid w:val="00FC1741"/>
    <w:rsid w:val="00FD3423"/>
    <w:rsid w:val="00FD540E"/>
    <w:rsid w:val="00FE3379"/>
    <w:rsid w:val="00FE4F1B"/>
    <w:rsid w:val="00FE741D"/>
    <w:rsid w:val="00FF0537"/>
    <w:rsid w:val="00FF05DF"/>
    <w:rsid w:val="00FF1819"/>
    <w:rsid w:val="00FF1E4C"/>
    <w:rsid w:val="00FF2FE4"/>
    <w:rsid w:val="00FF3199"/>
    <w:rsid w:val="00FF4EA9"/>
    <w:rsid w:val="00FF6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C9612"/>
  <w15:docId w15:val="{60A2C99D-56ED-46BA-A6D2-6796420E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122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043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25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B255C"/>
    <w:rPr>
      <w:color w:val="0563C1" w:themeColor="hyperlink"/>
      <w:u w:val="single"/>
    </w:rPr>
  </w:style>
  <w:style w:type="paragraph" w:customStyle="1" w:styleId="credit">
    <w:name w:val="credit"/>
    <w:basedOn w:val="Normal"/>
    <w:rsid w:val="000B25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B255C"/>
    <w:pPr>
      <w:ind w:left="720"/>
      <w:contextualSpacing/>
    </w:pPr>
  </w:style>
  <w:style w:type="character" w:styleId="FollowedHyperlink">
    <w:name w:val="FollowedHyperlink"/>
    <w:basedOn w:val="DefaultParagraphFont"/>
    <w:uiPriority w:val="99"/>
    <w:semiHidden/>
    <w:unhideWhenUsed/>
    <w:rsid w:val="00C56E29"/>
    <w:rPr>
      <w:color w:val="954F72" w:themeColor="followedHyperlink"/>
      <w:u w:val="single"/>
    </w:rPr>
  </w:style>
  <w:style w:type="paragraph" w:styleId="FootnoteText">
    <w:name w:val="footnote text"/>
    <w:basedOn w:val="Normal"/>
    <w:link w:val="FootnoteTextChar"/>
    <w:uiPriority w:val="99"/>
    <w:semiHidden/>
    <w:unhideWhenUsed/>
    <w:rsid w:val="002013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1389"/>
    <w:rPr>
      <w:sz w:val="20"/>
      <w:szCs w:val="20"/>
    </w:rPr>
  </w:style>
  <w:style w:type="character" w:styleId="FootnoteReference">
    <w:name w:val="footnote reference"/>
    <w:basedOn w:val="DefaultParagraphFont"/>
    <w:uiPriority w:val="99"/>
    <w:semiHidden/>
    <w:unhideWhenUsed/>
    <w:rsid w:val="00201389"/>
    <w:rPr>
      <w:vertAlign w:val="superscript"/>
    </w:rPr>
  </w:style>
  <w:style w:type="character" w:customStyle="1" w:styleId="apple-converted-space">
    <w:name w:val="apple-converted-space"/>
    <w:basedOn w:val="DefaultParagraphFont"/>
    <w:rsid w:val="00DD0765"/>
  </w:style>
  <w:style w:type="character" w:styleId="CommentReference">
    <w:name w:val="annotation reference"/>
    <w:basedOn w:val="DefaultParagraphFont"/>
    <w:uiPriority w:val="99"/>
    <w:semiHidden/>
    <w:unhideWhenUsed/>
    <w:rsid w:val="007A57E0"/>
    <w:rPr>
      <w:sz w:val="16"/>
      <w:szCs w:val="16"/>
    </w:rPr>
  </w:style>
  <w:style w:type="paragraph" w:styleId="CommentText">
    <w:name w:val="annotation text"/>
    <w:basedOn w:val="Normal"/>
    <w:link w:val="CommentTextChar"/>
    <w:uiPriority w:val="99"/>
    <w:unhideWhenUsed/>
    <w:rsid w:val="007A57E0"/>
    <w:pPr>
      <w:spacing w:line="240" w:lineRule="auto"/>
    </w:pPr>
    <w:rPr>
      <w:sz w:val="20"/>
      <w:szCs w:val="20"/>
    </w:rPr>
  </w:style>
  <w:style w:type="character" w:customStyle="1" w:styleId="CommentTextChar">
    <w:name w:val="Comment Text Char"/>
    <w:basedOn w:val="DefaultParagraphFont"/>
    <w:link w:val="CommentText"/>
    <w:uiPriority w:val="99"/>
    <w:rsid w:val="007A57E0"/>
    <w:rPr>
      <w:sz w:val="20"/>
      <w:szCs w:val="20"/>
    </w:rPr>
  </w:style>
  <w:style w:type="paragraph" w:styleId="CommentSubject">
    <w:name w:val="annotation subject"/>
    <w:basedOn w:val="CommentText"/>
    <w:next w:val="CommentText"/>
    <w:link w:val="CommentSubjectChar"/>
    <w:uiPriority w:val="99"/>
    <w:semiHidden/>
    <w:unhideWhenUsed/>
    <w:rsid w:val="007A57E0"/>
    <w:rPr>
      <w:b/>
      <w:bCs/>
    </w:rPr>
  </w:style>
  <w:style w:type="character" w:customStyle="1" w:styleId="CommentSubjectChar">
    <w:name w:val="Comment Subject Char"/>
    <w:basedOn w:val="CommentTextChar"/>
    <w:link w:val="CommentSubject"/>
    <w:uiPriority w:val="99"/>
    <w:semiHidden/>
    <w:rsid w:val="007A57E0"/>
    <w:rPr>
      <w:b/>
      <w:bCs/>
      <w:sz w:val="20"/>
      <w:szCs w:val="20"/>
    </w:rPr>
  </w:style>
  <w:style w:type="paragraph" w:styleId="Revision">
    <w:name w:val="Revision"/>
    <w:hidden/>
    <w:uiPriority w:val="99"/>
    <w:semiHidden/>
    <w:rsid w:val="007A57E0"/>
    <w:pPr>
      <w:spacing w:after="0" w:line="240" w:lineRule="auto"/>
    </w:pPr>
  </w:style>
  <w:style w:type="paragraph" w:styleId="BalloonText">
    <w:name w:val="Balloon Text"/>
    <w:basedOn w:val="Normal"/>
    <w:link w:val="BalloonTextChar"/>
    <w:uiPriority w:val="99"/>
    <w:semiHidden/>
    <w:unhideWhenUsed/>
    <w:rsid w:val="007A5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7E0"/>
    <w:rPr>
      <w:rFonts w:ascii="Tahoma" w:hAnsi="Tahoma" w:cs="Tahoma"/>
      <w:sz w:val="16"/>
      <w:szCs w:val="16"/>
    </w:rPr>
  </w:style>
  <w:style w:type="character" w:customStyle="1" w:styleId="Heading2Char">
    <w:name w:val="Heading 2 Char"/>
    <w:basedOn w:val="DefaultParagraphFont"/>
    <w:link w:val="Heading2"/>
    <w:uiPriority w:val="9"/>
    <w:rsid w:val="00A0436A"/>
    <w:rPr>
      <w:rFonts w:ascii="Times New Roman" w:eastAsia="Times New Roman" w:hAnsi="Times New Roman" w:cs="Times New Roman"/>
      <w:b/>
      <w:bCs/>
      <w:sz w:val="36"/>
      <w:szCs w:val="36"/>
    </w:rPr>
  </w:style>
  <w:style w:type="character" w:customStyle="1" w:styleId="UnresolvedMention1">
    <w:name w:val="Unresolved Mention1"/>
    <w:basedOn w:val="DefaultParagraphFont"/>
    <w:uiPriority w:val="99"/>
    <w:semiHidden/>
    <w:unhideWhenUsed/>
    <w:rsid w:val="00667122"/>
    <w:rPr>
      <w:color w:val="605E5C"/>
      <w:shd w:val="clear" w:color="auto" w:fill="E1DFDD"/>
    </w:rPr>
  </w:style>
  <w:style w:type="character" w:customStyle="1" w:styleId="Heading1Char">
    <w:name w:val="Heading 1 Char"/>
    <w:basedOn w:val="DefaultParagraphFont"/>
    <w:link w:val="Heading1"/>
    <w:uiPriority w:val="9"/>
    <w:rsid w:val="0081224C"/>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500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D561B7"/>
  </w:style>
  <w:style w:type="paragraph" w:styleId="Header">
    <w:name w:val="header"/>
    <w:basedOn w:val="Normal"/>
    <w:link w:val="HeaderChar"/>
    <w:uiPriority w:val="99"/>
    <w:unhideWhenUsed/>
    <w:rsid w:val="00A20A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AA8"/>
  </w:style>
  <w:style w:type="paragraph" w:styleId="Footer">
    <w:name w:val="footer"/>
    <w:basedOn w:val="Normal"/>
    <w:link w:val="FooterChar"/>
    <w:uiPriority w:val="99"/>
    <w:unhideWhenUsed/>
    <w:rsid w:val="00A20A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AA8"/>
  </w:style>
  <w:style w:type="character" w:customStyle="1" w:styleId="UnresolvedMention2">
    <w:name w:val="Unresolved Mention2"/>
    <w:basedOn w:val="DefaultParagraphFont"/>
    <w:uiPriority w:val="99"/>
    <w:semiHidden/>
    <w:unhideWhenUsed/>
    <w:rsid w:val="002E0DAC"/>
    <w:rPr>
      <w:color w:val="605E5C"/>
      <w:shd w:val="clear" w:color="auto" w:fill="E1DFDD"/>
    </w:rPr>
  </w:style>
  <w:style w:type="character" w:styleId="HTMLCite">
    <w:name w:val="HTML Cite"/>
    <w:basedOn w:val="DefaultParagraphFont"/>
    <w:uiPriority w:val="99"/>
    <w:semiHidden/>
    <w:unhideWhenUsed/>
    <w:rsid w:val="00B022B0"/>
    <w:rPr>
      <w:i/>
      <w:iCs/>
    </w:rPr>
  </w:style>
  <w:style w:type="character" w:styleId="PlaceholderText">
    <w:name w:val="Placeholder Text"/>
    <w:basedOn w:val="DefaultParagraphFont"/>
    <w:uiPriority w:val="99"/>
    <w:semiHidden/>
    <w:rsid w:val="00097E7D"/>
    <w:rPr>
      <w:color w:val="808080"/>
    </w:rPr>
  </w:style>
  <w:style w:type="character" w:customStyle="1" w:styleId="UnresolvedMention3">
    <w:name w:val="Unresolved Mention3"/>
    <w:basedOn w:val="DefaultParagraphFont"/>
    <w:uiPriority w:val="99"/>
    <w:semiHidden/>
    <w:unhideWhenUsed/>
    <w:rsid w:val="006B2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18836">
      <w:bodyDiv w:val="1"/>
      <w:marLeft w:val="0"/>
      <w:marRight w:val="0"/>
      <w:marTop w:val="0"/>
      <w:marBottom w:val="0"/>
      <w:divBdr>
        <w:top w:val="none" w:sz="0" w:space="0" w:color="auto"/>
        <w:left w:val="none" w:sz="0" w:space="0" w:color="auto"/>
        <w:bottom w:val="none" w:sz="0" w:space="0" w:color="auto"/>
        <w:right w:val="none" w:sz="0" w:space="0" w:color="auto"/>
      </w:divBdr>
    </w:div>
    <w:div w:id="164168646">
      <w:bodyDiv w:val="1"/>
      <w:marLeft w:val="0"/>
      <w:marRight w:val="0"/>
      <w:marTop w:val="0"/>
      <w:marBottom w:val="0"/>
      <w:divBdr>
        <w:top w:val="none" w:sz="0" w:space="0" w:color="auto"/>
        <w:left w:val="none" w:sz="0" w:space="0" w:color="auto"/>
        <w:bottom w:val="none" w:sz="0" w:space="0" w:color="auto"/>
        <w:right w:val="none" w:sz="0" w:space="0" w:color="auto"/>
      </w:divBdr>
    </w:div>
    <w:div w:id="328561449">
      <w:bodyDiv w:val="1"/>
      <w:marLeft w:val="0"/>
      <w:marRight w:val="0"/>
      <w:marTop w:val="0"/>
      <w:marBottom w:val="0"/>
      <w:divBdr>
        <w:top w:val="none" w:sz="0" w:space="0" w:color="auto"/>
        <w:left w:val="none" w:sz="0" w:space="0" w:color="auto"/>
        <w:bottom w:val="none" w:sz="0" w:space="0" w:color="auto"/>
        <w:right w:val="none" w:sz="0" w:space="0" w:color="auto"/>
      </w:divBdr>
      <w:divsChild>
        <w:div w:id="134759543">
          <w:marLeft w:val="0"/>
          <w:marRight w:val="0"/>
          <w:marTop w:val="0"/>
          <w:marBottom w:val="0"/>
          <w:divBdr>
            <w:top w:val="none" w:sz="0" w:space="0" w:color="auto"/>
            <w:left w:val="none" w:sz="0" w:space="0" w:color="auto"/>
            <w:bottom w:val="none" w:sz="0" w:space="0" w:color="auto"/>
            <w:right w:val="none" w:sz="0" w:space="0" w:color="auto"/>
          </w:divBdr>
          <w:divsChild>
            <w:div w:id="449787771">
              <w:marLeft w:val="0"/>
              <w:marRight w:val="0"/>
              <w:marTop w:val="0"/>
              <w:marBottom w:val="0"/>
              <w:divBdr>
                <w:top w:val="none" w:sz="0" w:space="0" w:color="auto"/>
                <w:left w:val="none" w:sz="0" w:space="0" w:color="auto"/>
                <w:bottom w:val="none" w:sz="0" w:space="0" w:color="auto"/>
                <w:right w:val="none" w:sz="0" w:space="0" w:color="auto"/>
              </w:divBdr>
              <w:divsChild>
                <w:div w:id="143801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25112">
          <w:marLeft w:val="0"/>
          <w:marRight w:val="0"/>
          <w:marTop w:val="0"/>
          <w:marBottom w:val="0"/>
          <w:divBdr>
            <w:top w:val="none" w:sz="0" w:space="0" w:color="auto"/>
            <w:left w:val="none" w:sz="0" w:space="0" w:color="auto"/>
            <w:bottom w:val="none" w:sz="0" w:space="0" w:color="auto"/>
            <w:right w:val="none" w:sz="0" w:space="0" w:color="auto"/>
          </w:divBdr>
          <w:divsChild>
            <w:div w:id="428549654">
              <w:marLeft w:val="0"/>
              <w:marRight w:val="0"/>
              <w:marTop w:val="0"/>
              <w:marBottom w:val="0"/>
              <w:divBdr>
                <w:top w:val="none" w:sz="0" w:space="0" w:color="auto"/>
                <w:left w:val="none" w:sz="0" w:space="0" w:color="auto"/>
                <w:bottom w:val="none" w:sz="0" w:space="0" w:color="auto"/>
                <w:right w:val="none" w:sz="0" w:space="0" w:color="auto"/>
              </w:divBdr>
            </w:div>
          </w:divsChild>
        </w:div>
        <w:div w:id="590239255">
          <w:marLeft w:val="0"/>
          <w:marRight w:val="0"/>
          <w:marTop w:val="0"/>
          <w:marBottom w:val="0"/>
          <w:divBdr>
            <w:top w:val="none" w:sz="0" w:space="0" w:color="auto"/>
            <w:left w:val="none" w:sz="0" w:space="0" w:color="auto"/>
            <w:bottom w:val="none" w:sz="0" w:space="0" w:color="auto"/>
            <w:right w:val="none" w:sz="0" w:space="0" w:color="auto"/>
          </w:divBdr>
          <w:divsChild>
            <w:div w:id="718554271">
              <w:marLeft w:val="0"/>
              <w:marRight w:val="0"/>
              <w:marTop w:val="0"/>
              <w:marBottom w:val="0"/>
              <w:divBdr>
                <w:top w:val="none" w:sz="0" w:space="0" w:color="auto"/>
                <w:left w:val="none" w:sz="0" w:space="0" w:color="auto"/>
                <w:bottom w:val="none" w:sz="0" w:space="0" w:color="auto"/>
                <w:right w:val="none" w:sz="0" w:space="0" w:color="auto"/>
              </w:divBdr>
            </w:div>
          </w:divsChild>
        </w:div>
        <w:div w:id="1355615020">
          <w:marLeft w:val="0"/>
          <w:marRight w:val="0"/>
          <w:marTop w:val="0"/>
          <w:marBottom w:val="0"/>
          <w:divBdr>
            <w:top w:val="none" w:sz="0" w:space="0" w:color="auto"/>
            <w:left w:val="none" w:sz="0" w:space="0" w:color="auto"/>
            <w:bottom w:val="none" w:sz="0" w:space="0" w:color="auto"/>
            <w:right w:val="none" w:sz="0" w:space="0" w:color="auto"/>
          </w:divBdr>
          <w:divsChild>
            <w:div w:id="15609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003339">
      <w:bodyDiv w:val="1"/>
      <w:marLeft w:val="0"/>
      <w:marRight w:val="0"/>
      <w:marTop w:val="0"/>
      <w:marBottom w:val="0"/>
      <w:divBdr>
        <w:top w:val="none" w:sz="0" w:space="0" w:color="auto"/>
        <w:left w:val="none" w:sz="0" w:space="0" w:color="auto"/>
        <w:bottom w:val="none" w:sz="0" w:space="0" w:color="auto"/>
        <w:right w:val="none" w:sz="0" w:space="0" w:color="auto"/>
      </w:divBdr>
      <w:divsChild>
        <w:div w:id="993492014">
          <w:marLeft w:val="0"/>
          <w:marRight w:val="0"/>
          <w:marTop w:val="0"/>
          <w:marBottom w:val="0"/>
          <w:divBdr>
            <w:top w:val="none" w:sz="0" w:space="0" w:color="auto"/>
            <w:left w:val="none" w:sz="0" w:space="0" w:color="auto"/>
            <w:bottom w:val="none" w:sz="0" w:space="0" w:color="auto"/>
            <w:right w:val="none" w:sz="0" w:space="0" w:color="auto"/>
          </w:divBdr>
        </w:div>
      </w:divsChild>
    </w:div>
    <w:div w:id="434984782">
      <w:bodyDiv w:val="1"/>
      <w:marLeft w:val="0"/>
      <w:marRight w:val="0"/>
      <w:marTop w:val="0"/>
      <w:marBottom w:val="0"/>
      <w:divBdr>
        <w:top w:val="none" w:sz="0" w:space="0" w:color="auto"/>
        <w:left w:val="none" w:sz="0" w:space="0" w:color="auto"/>
        <w:bottom w:val="none" w:sz="0" w:space="0" w:color="auto"/>
        <w:right w:val="none" w:sz="0" w:space="0" w:color="auto"/>
      </w:divBdr>
    </w:div>
    <w:div w:id="467553417">
      <w:bodyDiv w:val="1"/>
      <w:marLeft w:val="0"/>
      <w:marRight w:val="0"/>
      <w:marTop w:val="0"/>
      <w:marBottom w:val="0"/>
      <w:divBdr>
        <w:top w:val="none" w:sz="0" w:space="0" w:color="auto"/>
        <w:left w:val="none" w:sz="0" w:space="0" w:color="auto"/>
        <w:bottom w:val="none" w:sz="0" w:space="0" w:color="auto"/>
        <w:right w:val="none" w:sz="0" w:space="0" w:color="auto"/>
      </w:divBdr>
    </w:div>
    <w:div w:id="529533322">
      <w:bodyDiv w:val="1"/>
      <w:marLeft w:val="0"/>
      <w:marRight w:val="0"/>
      <w:marTop w:val="0"/>
      <w:marBottom w:val="0"/>
      <w:divBdr>
        <w:top w:val="none" w:sz="0" w:space="0" w:color="auto"/>
        <w:left w:val="none" w:sz="0" w:space="0" w:color="auto"/>
        <w:bottom w:val="none" w:sz="0" w:space="0" w:color="auto"/>
        <w:right w:val="none" w:sz="0" w:space="0" w:color="auto"/>
      </w:divBdr>
    </w:div>
    <w:div w:id="657616405">
      <w:bodyDiv w:val="1"/>
      <w:marLeft w:val="0"/>
      <w:marRight w:val="0"/>
      <w:marTop w:val="0"/>
      <w:marBottom w:val="0"/>
      <w:divBdr>
        <w:top w:val="none" w:sz="0" w:space="0" w:color="auto"/>
        <w:left w:val="none" w:sz="0" w:space="0" w:color="auto"/>
        <w:bottom w:val="none" w:sz="0" w:space="0" w:color="auto"/>
        <w:right w:val="none" w:sz="0" w:space="0" w:color="auto"/>
      </w:divBdr>
    </w:div>
    <w:div w:id="760419082">
      <w:bodyDiv w:val="1"/>
      <w:marLeft w:val="0"/>
      <w:marRight w:val="0"/>
      <w:marTop w:val="0"/>
      <w:marBottom w:val="0"/>
      <w:divBdr>
        <w:top w:val="none" w:sz="0" w:space="0" w:color="auto"/>
        <w:left w:val="none" w:sz="0" w:space="0" w:color="auto"/>
        <w:bottom w:val="none" w:sz="0" w:space="0" w:color="auto"/>
        <w:right w:val="none" w:sz="0" w:space="0" w:color="auto"/>
      </w:divBdr>
      <w:divsChild>
        <w:div w:id="1796866309">
          <w:marLeft w:val="0"/>
          <w:marRight w:val="0"/>
          <w:marTop w:val="0"/>
          <w:marBottom w:val="0"/>
          <w:divBdr>
            <w:top w:val="none" w:sz="0" w:space="0" w:color="auto"/>
            <w:left w:val="none" w:sz="0" w:space="0" w:color="auto"/>
            <w:bottom w:val="none" w:sz="0" w:space="0" w:color="auto"/>
            <w:right w:val="none" w:sz="0" w:space="0" w:color="auto"/>
          </w:divBdr>
          <w:divsChild>
            <w:div w:id="1829906985">
              <w:marLeft w:val="0"/>
              <w:marRight w:val="0"/>
              <w:marTop w:val="0"/>
              <w:marBottom w:val="0"/>
              <w:divBdr>
                <w:top w:val="none" w:sz="0" w:space="0" w:color="auto"/>
                <w:left w:val="none" w:sz="0" w:space="0" w:color="auto"/>
                <w:bottom w:val="none" w:sz="0" w:space="0" w:color="auto"/>
                <w:right w:val="none" w:sz="0" w:space="0" w:color="auto"/>
              </w:divBdr>
              <w:divsChild>
                <w:div w:id="120089334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 w:id="1232737800">
      <w:bodyDiv w:val="1"/>
      <w:marLeft w:val="0"/>
      <w:marRight w:val="0"/>
      <w:marTop w:val="0"/>
      <w:marBottom w:val="0"/>
      <w:divBdr>
        <w:top w:val="none" w:sz="0" w:space="0" w:color="auto"/>
        <w:left w:val="none" w:sz="0" w:space="0" w:color="auto"/>
        <w:bottom w:val="none" w:sz="0" w:space="0" w:color="auto"/>
        <w:right w:val="none" w:sz="0" w:space="0" w:color="auto"/>
      </w:divBdr>
    </w:div>
    <w:div w:id="1244880019">
      <w:bodyDiv w:val="1"/>
      <w:marLeft w:val="0"/>
      <w:marRight w:val="0"/>
      <w:marTop w:val="0"/>
      <w:marBottom w:val="0"/>
      <w:divBdr>
        <w:top w:val="none" w:sz="0" w:space="0" w:color="auto"/>
        <w:left w:val="none" w:sz="0" w:space="0" w:color="auto"/>
        <w:bottom w:val="none" w:sz="0" w:space="0" w:color="auto"/>
        <w:right w:val="none" w:sz="0" w:space="0" w:color="auto"/>
      </w:divBdr>
    </w:div>
    <w:div w:id="1278563193">
      <w:bodyDiv w:val="1"/>
      <w:marLeft w:val="0"/>
      <w:marRight w:val="0"/>
      <w:marTop w:val="0"/>
      <w:marBottom w:val="0"/>
      <w:divBdr>
        <w:top w:val="none" w:sz="0" w:space="0" w:color="auto"/>
        <w:left w:val="none" w:sz="0" w:space="0" w:color="auto"/>
        <w:bottom w:val="none" w:sz="0" w:space="0" w:color="auto"/>
        <w:right w:val="none" w:sz="0" w:space="0" w:color="auto"/>
      </w:divBdr>
    </w:div>
    <w:div w:id="1318223436">
      <w:bodyDiv w:val="1"/>
      <w:marLeft w:val="0"/>
      <w:marRight w:val="0"/>
      <w:marTop w:val="0"/>
      <w:marBottom w:val="0"/>
      <w:divBdr>
        <w:top w:val="none" w:sz="0" w:space="0" w:color="auto"/>
        <w:left w:val="none" w:sz="0" w:space="0" w:color="auto"/>
        <w:bottom w:val="none" w:sz="0" w:space="0" w:color="auto"/>
        <w:right w:val="none" w:sz="0" w:space="0" w:color="auto"/>
      </w:divBdr>
    </w:div>
    <w:div w:id="1344094186">
      <w:bodyDiv w:val="1"/>
      <w:marLeft w:val="0"/>
      <w:marRight w:val="0"/>
      <w:marTop w:val="0"/>
      <w:marBottom w:val="0"/>
      <w:divBdr>
        <w:top w:val="none" w:sz="0" w:space="0" w:color="auto"/>
        <w:left w:val="none" w:sz="0" w:space="0" w:color="auto"/>
        <w:bottom w:val="none" w:sz="0" w:space="0" w:color="auto"/>
        <w:right w:val="none" w:sz="0" w:space="0" w:color="auto"/>
      </w:divBdr>
      <w:divsChild>
        <w:div w:id="187528300">
          <w:marLeft w:val="0"/>
          <w:marRight w:val="0"/>
          <w:marTop w:val="0"/>
          <w:marBottom w:val="0"/>
          <w:divBdr>
            <w:top w:val="none" w:sz="0" w:space="0" w:color="auto"/>
            <w:left w:val="none" w:sz="0" w:space="0" w:color="auto"/>
            <w:bottom w:val="none" w:sz="0" w:space="0" w:color="auto"/>
            <w:right w:val="none" w:sz="0" w:space="0" w:color="auto"/>
          </w:divBdr>
          <w:divsChild>
            <w:div w:id="1616984942">
              <w:marLeft w:val="0"/>
              <w:marRight w:val="0"/>
              <w:marTop w:val="0"/>
              <w:marBottom w:val="0"/>
              <w:divBdr>
                <w:top w:val="none" w:sz="0" w:space="0" w:color="auto"/>
                <w:left w:val="none" w:sz="0" w:space="0" w:color="auto"/>
                <w:bottom w:val="none" w:sz="0" w:space="0" w:color="auto"/>
                <w:right w:val="none" w:sz="0" w:space="0" w:color="auto"/>
              </w:divBdr>
              <w:divsChild>
                <w:div w:id="1149445235">
                  <w:marLeft w:val="0"/>
                  <w:marRight w:val="0"/>
                  <w:marTop w:val="0"/>
                  <w:marBottom w:val="0"/>
                  <w:divBdr>
                    <w:top w:val="none" w:sz="0" w:space="0" w:color="auto"/>
                    <w:left w:val="none" w:sz="0" w:space="0" w:color="auto"/>
                    <w:bottom w:val="none" w:sz="0" w:space="0" w:color="auto"/>
                    <w:right w:val="none" w:sz="0" w:space="0" w:color="auto"/>
                  </w:divBdr>
                </w:div>
                <w:div w:id="17135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71419">
          <w:marLeft w:val="0"/>
          <w:marRight w:val="0"/>
          <w:marTop w:val="0"/>
          <w:marBottom w:val="0"/>
          <w:divBdr>
            <w:top w:val="none" w:sz="0" w:space="0" w:color="auto"/>
            <w:left w:val="none" w:sz="0" w:space="0" w:color="auto"/>
            <w:bottom w:val="none" w:sz="0" w:space="0" w:color="auto"/>
            <w:right w:val="none" w:sz="0" w:space="0" w:color="auto"/>
          </w:divBdr>
          <w:divsChild>
            <w:div w:id="942420393">
              <w:marLeft w:val="0"/>
              <w:marRight w:val="0"/>
              <w:marTop w:val="0"/>
              <w:marBottom w:val="0"/>
              <w:divBdr>
                <w:top w:val="none" w:sz="0" w:space="0" w:color="auto"/>
                <w:left w:val="none" w:sz="0" w:space="0" w:color="auto"/>
                <w:bottom w:val="none" w:sz="0" w:space="0" w:color="auto"/>
                <w:right w:val="none" w:sz="0" w:space="0" w:color="auto"/>
              </w:divBdr>
              <w:divsChild>
                <w:div w:id="1605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23703">
      <w:bodyDiv w:val="1"/>
      <w:marLeft w:val="0"/>
      <w:marRight w:val="0"/>
      <w:marTop w:val="0"/>
      <w:marBottom w:val="0"/>
      <w:divBdr>
        <w:top w:val="none" w:sz="0" w:space="0" w:color="auto"/>
        <w:left w:val="none" w:sz="0" w:space="0" w:color="auto"/>
        <w:bottom w:val="none" w:sz="0" w:space="0" w:color="auto"/>
        <w:right w:val="none" w:sz="0" w:space="0" w:color="auto"/>
      </w:divBdr>
    </w:div>
    <w:div w:id="1616936515">
      <w:bodyDiv w:val="1"/>
      <w:marLeft w:val="0"/>
      <w:marRight w:val="0"/>
      <w:marTop w:val="0"/>
      <w:marBottom w:val="0"/>
      <w:divBdr>
        <w:top w:val="none" w:sz="0" w:space="0" w:color="auto"/>
        <w:left w:val="none" w:sz="0" w:space="0" w:color="auto"/>
        <w:bottom w:val="none" w:sz="0" w:space="0" w:color="auto"/>
        <w:right w:val="none" w:sz="0" w:space="0" w:color="auto"/>
      </w:divBdr>
    </w:div>
    <w:div w:id="179775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8128/D030.V6.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census.gov/data/tables/2019/demo/income-poverty/p60-266.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rookings.edu/blog/up-front/2015/03/31/increasing-education-what-it-will-and-will-not-do-for-earnings-and-earnings-inequality/"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census.gov/topics/income-poverty/poverty/guidance/poverty-measures.html" TargetMode="External"/><Relationship Id="rId1" Type="http://schemas.openxmlformats.org/officeDocument/2006/relationships/hyperlink" Target="https://www.census.gov/data/tables/time-series/demo/income-poverty/historical-poverty-threshol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34CDE-8D12-4E37-B9CE-D4440426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10050</Words>
  <Characters>57291</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Kearney</dc:creator>
  <cp:lastModifiedBy>Melissa Kearney</cp:lastModifiedBy>
  <cp:revision>3</cp:revision>
  <cp:lastPrinted>2020-01-23T21:13:00Z</cp:lastPrinted>
  <dcterms:created xsi:type="dcterms:W3CDTF">2020-01-30T15:56:00Z</dcterms:created>
  <dcterms:modified xsi:type="dcterms:W3CDTF">2020-01-30T15:59:00Z</dcterms:modified>
</cp:coreProperties>
</file>